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THIẾT KẾ CƠ SỞ DỮ LIỆU</w:t>
      </w:r>
    </w:p>
    <w:p>
      <w:pPr>
        <w:spacing w:after="400"/>
        <w:jc w:val="center"/>
      </w:pPr>
      <w:r>
        <w:rPr>
          <w:i/>
          <w:iCs/>
          <w:color w:val="555555"/>
        </w:rPr>
        <w:t xml:space="preserve">ERD tổng quan toàn hệ thống</w:t>
      </w:r>
    </w:p>
    <w:p>
      <w:pPr>
        <w:pStyle w:val="Heading1"/>
        <w:spacing w:after="200" w:before="400"/>
      </w:pPr>
      <w:r>
        <w:t xml:space="preserve">1. Nguyên tắc thiết kế</w:t>
      </w:r>
    </w:p>
    <w:p>
      <w:pPr>
        <w:spacing w:after="150"/>
      </w:pPr>
      <w:r>
        <w:t xml:space="preserve">Hệ thống theo kiến trúc microservices — mỗi service sở hữu 1 database vật lý riêng (Database per Service). Vì vậy, khoá ngoại (FK) được chia làm 2 loại rõ rệt trong sơ đồ:</w:t>
      </w:r>
    </w:p>
    <w:p>
      <w:pPr>
        <w:pStyle w:val="ListParagraph"/>
        <w:numPr>
          <w:ilvl w:val="0"/>
          <w:numId w:val="2"/>
        </w:numPr>
        <w:spacing w:after="90"/>
      </w:pPr>
      <w:r>
        <w:t xml:space="preserve">Khoá ngoại thật (FK): 2 bảng nằm trong CÙNG 1 database, được DB đảm bảo tính toàn vẹn tham chiếu (referential integrity) — vẽ bằng đường liền nét.</w:t>
      </w:r>
    </w:p>
    <w:p>
      <w:pPr>
        <w:pStyle w:val="ListParagraph"/>
        <w:numPr>
          <w:ilvl w:val="0"/>
          <w:numId w:val="2"/>
        </w:numPr>
        <w:spacing w:after="90"/>
      </w:pPr>
      <w:r>
        <w:t xml:space="preserve">Liên kết logic (FK*): 2 bảng nằm ở 2 database vật lý KHÁC NHAU. DB không có cách nào tự kiểm tra/ràng buộc quan hệ này — ứng dụng (application layer) phải tự đảm bảo tính đúng đắn. Được chú thích bằng chữ ngay trong ô field, không vẽ đường nối để tránh rối sơ đồ.</w:t>
      </w:r>
    </w:p>
    <w:p>
      <w:pPr>
        <w:spacing w:after="150"/>
      </w:pPr>
      <w:r>
        <w:rPr>
          <w:i/>
          <w:iCs/>
          <w:color w:val="7F7F7F"/>
        </w:rPr>
        <w:t xml:space="preserve">Hệ quả cần lưu ý: với liên kết logic, DB sẽ KHÔNG tự động cascade delete. Ví dụ workspace_id trong bảng conversations (Social/Chat DB) chỉ là liên kết logic tới workspaces (Workspace DB) — khi 1 workspace bị xoá (UC-19), Social DB sẽ không tự biết để dọn theo. WorkSpace Service phải chủ động gọi sang Chat Service để dọn dẹp, nếu không sẽ phát sinh dữ liệu mồ côi (orphaned data). Đây chính là điểm còn để ngỏ đã nêu ở UC-19.</w:t>
      </w:r>
    </w:p>
    <w:p>
      <w:pPr>
        <w:pStyle w:val="Heading1"/>
        <w:spacing w:after="200" w:before="400"/>
      </w:pPr>
      <w:r>
        <w:t xml:space="preserve">2. Phạm vi ERD này</w:t>
      </w:r>
    </w:p>
    <w:p>
      <w:pPr>
        <w:spacing w:after="150"/>
      </w:pPr>
      <w:r>
        <w:t xml:space="preserve">Sơ đồ dưới đây bao phủ 5 database quan hệ (Postgres) tương ứng 5 service: Identity, Workspace, Social/Chat, Media, MiniApp. Hai thành phần lưu trữ sau KHÔNG xuất hiện trong ERD vì không phải dữ liệu quan hệ:</w:t>
      </w:r>
    </w:p>
    <w:p>
      <w:pPr>
        <w:pStyle w:val="ListParagraph"/>
        <w:numPr>
          <w:ilvl w:val="0"/>
          <w:numId w:val="2"/>
        </w:numPr>
        <w:spacing w:after="90"/>
      </w:pPr>
      <w:r>
        <w:t xml:space="preserve">Redis: key-value cache có TTL (online status, session, recent chat, file info) — dữ liệu phái sinh, đồng bộ từ Postgres qua Kafka, đã mô tả cơ chế ở file Use Case SpamTrackingService/Kafka/RabbitMQ.</w:t>
      </w:r>
    </w:p>
    <w:p>
      <w:pPr>
        <w:pStyle w:val="ListParagraph"/>
        <w:numPr>
          <w:ilvl w:val="0"/>
          <w:numId w:val="2"/>
        </w:numPr>
        <w:spacing w:after="90"/>
      </w:pPr>
      <w:r>
        <w:t xml:space="preserve">MinIO: lưu trữ object/blob (file, ảnh, media) — không có schema quan hệ, chỉ được tham chiếu qua trường object_key trong bảng files.</w:t>
      </w:r>
    </w:p>
    <w:p>
      <w:pPr>
        <w:spacing w:after="150"/>
      </w:pPr>
      <w:r>
        <w:t xml:space="preserve">Đây là bản tổng quan (overview) — mỗi bảng chỉ liệt kê các trường quan trọng (khoá chính, khoá ngoại, 1–2 trường định danh). Schema chi tiết đầy đủ từng cột/kiểu dữ liệu/ràng buộc sẽ làm riêng theo từng DB ở các file tiếp theo.</w:t>
      </w:r>
    </w:p>
    <w:p>
      <w:pPr>
        <w:sectPr>
          <w:pgSz w:w="11906" w:h="16838" w:orient="portrait"/>
          <w:pgMar w:top="1000" w:right="1100" w:bottom="1000" w:left="1100" w:header="708" w:footer="708" w:gutter="0"/>
          <w:pgNumType/>
          <w:docGrid w:linePitch="360"/>
        </w:sectPr>
      </w:pPr>
    </w:p>
    <w:p>
      <w:pPr>
        <w:pStyle w:val="Heading1"/>
        <w:spacing w:after="200"/>
        <w:jc w:val="center"/>
      </w:pPr>
      <w:r>
        <w:t xml:space="preserve">Sơ đồ ERD tổng quan</w:t>
      </w:r>
    </w:p>
    <w:p>
      <w:pPr>
        <w:jc w:val="center"/>
      </w:pPr>
      <w:r>
        <w:drawing>
          <wp:inline distT="0" distB="0" distL="0" distR="0">
            <wp:extent cx="5610225"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0225" cy="6400800"/>
                    </a:xfrm>
                    <a:prstGeom prst="rect">
                      <a:avLst/>
                    </a:prstGeom>
                  </pic:spPr>
                </pic:pic>
              </a:graphicData>
            </a:graphic>
          </wp:inline>
        </w:drawing>
      </w:r>
    </w:p>
    <w:p>
      <w:pPr>
        <w:sectPr>
          <w:type w:val="nextPage"/>
          <w:pgSz w:w="11906" w:h="16838" w:orient="landscape"/>
          <w:pgMar w:top="700" w:right="700" w:bottom="700" w:left="700" w:header="708" w:footer="708" w:gutter="0"/>
          <w:pgNumType/>
          <w:docGrid w:linePitch="360"/>
        </w:sectPr>
      </w:pPr>
    </w:p>
    <w:p>
      <w:pPr>
        <w:pStyle w:val="Heading1"/>
        <w:spacing w:after="200" w:before="400"/>
      </w:pPr>
      <w:r>
        <w:t xml:space="preserve">3. Bảng tổng hợp schema (mức tổng quan)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200"/>
        <w:gridCol w:w="1500"/>
        <w:gridCol w:w="2900"/>
      </w:tblGrid>
      <w:tr>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Bảng</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Thuộc DB</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Mô tả</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Khoá chính</w:t>
            </w:r>
          </w:p>
        </w:tc>
        <w:tc>
          <w:tcPr>
            <w:tcW w:type="auto" w:w="0"/>
            <w:tcBorders>
              <w:top w:val="single" w:color="BFBFBF" w:sz="2"/>
              <w:left w:val="single" w:color="BFBFBF" w:sz="2"/>
              <w:bottom w:val="single" w:color="BFBFBF" w:sz="2"/>
              <w:right w:val="single" w:color="BFBFBF" w:sz="2"/>
            </w:tcBorders>
            <w:shd w:fill="2E5A87" w:val="clear"/>
            <w:tcMar>
              <w:top w:type="dxa" w:w="80"/>
              <w:left w:type="dxa" w:w="100"/>
              <w:bottom w:type="dxa" w:w="80"/>
              <w:right w:type="dxa" w:w="100"/>
            </w:tcMar>
            <w:vAlign w:val="center"/>
          </w:tcPr>
          <w:p>
            <w:r>
              <w:rPr>
                <w:b/>
                <w:bCs/>
                <w:color w:val="FFFFFF"/>
              </w:rPr>
              <w:t xml:space="preserve">Liên kết chính</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users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Identity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Thông tin tài khoản (Guest &amp; Registered)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oauth_links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Identity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Liên kết đăng nhập Google/Facebook</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user_id → users.id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workspaces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Workspace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Thông tin nhóm/workspace</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owner_id → users.id (logic)</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workspace_members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Workspace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Thành viên &amp; vai trò trong nhóm (Trưởng/Phó/Thành viên)</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workspace_id → workspaces.id; user_id → users.id (logic)</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Social/Chat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Cuộc trò chuyện (1-1 hoặc group)</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workspace_id → workspaces.id (logic, nullable)</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messages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Social/Chat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Nội dung tin nhắn</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conversation_id → conversations.id; sender_id → users.id (logic)</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group_chat_settings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Social/Chat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Cấu hình dung lượng lưu trữ của nhóm</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conversation_id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conversation_id → conversations.id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muted_members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Social/Chat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Danh sách bị cấm chat (mute) trong 1 cuộc trò chuyện</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conversation_id → conversations.id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files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Social/Chat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Metadata file đính kèm (nội dung thật lưu ở MinIO)</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conversation_id → conversations.id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Media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Phiên họp/cuộc gọi</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host_id, workspace_id, conversation_id (đều logic)</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meeting_participants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Media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Người tham gia 1 phiên họp</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meeting_id → meetings.id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meeting_invites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Media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Link mời tham gia họp</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meeting_id → meetings.id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meeting_permissions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Media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Quyền được cấp riêng cho từng participant</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meeting_id → meetings.id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iptv_channel_lists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MiniApp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Danh sách kênh IPTV do user tạo</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user_id → users.id (logic)</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iptv_channel_groups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MiniApp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Nhóm kênh trong 1 danh sách</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list_id → iptv_channel_lists.id</w:t>
            </w:r>
          </w:p>
        </w:tc>
      </w:tr>
      <w:tr>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iptv_channels</w:t>
            </w:r>
          </w:p>
        </w:tc>
        <w:tc>
          <w:tcPr>
            <w:tcW w:type="auto" w:w="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vAlign w:val="center"/>
          </w:tcPr>
          <w:p>
            <w:pPr>
              <w:spacing w:after="0"/>
            </w:pPr>
            <w:r>
              <w:rPr>
                <w:b w:val="false"/>
                <w:bCs w:val="false"/>
              </w:rPr>
              <w:t xml:space="preserve">MiniApp DB</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Kênh cụ thể (stream url)</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id</w:t>
            </w:r>
          </w:p>
        </w:tc>
        <w:tc>
          <w:tcPr>
            <w:tcW w:type="auto" w:w="0"/>
            <w:tcBorders>
              <w:top w:val="single" w:color="BFBFBF" w:sz="2"/>
              <w:left w:val="single" w:color="BFBFBF" w:sz="2"/>
              <w:bottom w:val="single" w:color="BFBFBF" w:sz="2"/>
              <w:right w:val="single" w:color="BFBFBF" w:sz="2"/>
            </w:tcBorders>
            <w:tcMar>
              <w:top w:type="dxa" w:w="80"/>
              <w:left w:type="dxa" w:w="100"/>
              <w:bottom w:type="dxa" w:w="80"/>
              <w:right w:type="dxa" w:w="100"/>
            </w:tcMar>
            <w:vAlign w:val="center"/>
          </w:tcPr>
          <w:p>
            <w:pPr>
              <w:spacing w:after="0"/>
            </w:pPr>
            <w:r>
              <w:rPr>
                <w:b w:val="false"/>
                <w:bCs w:val="false"/>
              </w:rPr>
              <w:t xml:space="preserve">group_id → iptv_channel_groups.id</w:t>
            </w:r>
          </w:p>
        </w:tc>
      </w:tr>
    </w:tbl>
    <w:sectPr>
      <w:type w:val="nextPage"/>
      <w:pgSz w:w="11906" w:h="16838" w:orient="portrait"/>
      <w:pgMar w:top="1000" w:right="700" w:bottom="10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9898680fbd3c923dccf719c2fd2826fe05380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2026-08-06T04:14:40.279Z</dcterms:created>
  <dcterms:modified xsi:type="dcterms:W3CDTF">2026-08-06T04:14:40.298Z</dcterms:modified>
</cp:coreProperties>
</file>

<file path=docProps/custom.xml><?xml version="1.0" encoding="utf-8"?>
<Properties xmlns="http://schemas.openxmlformats.org/officeDocument/2006/custom-properties" xmlns:vt="http://schemas.openxmlformats.org/officeDocument/2006/docPropsVTypes"/>
</file>