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595959"/>
          <w:sz w:val="32"/>
          <w:szCs w:val="32"/>
        </w:rPr>
        <w:t xml:space="preserve">TÀI LIỆU HƯỚNG DẪN</w:t>
      </w:r>
    </w:p>
    <w:p>
      <w:pPr>
        <w:spacing w:after="400"/>
        <w:jc w:val="center"/>
      </w:pPr>
      <w:r>
        <w:rPr>
          <w:b/>
          <w:bCs/>
          <w:color w:val="1F3864"/>
          <w:sz w:val="40"/>
          <w:szCs w:val="40"/>
        </w:rPr>
        <w:t xml:space="preserve">XÂY DỰNG HỆ THỐNG NGHIỆP VỤ QUẢN LÝ ĐÀO TẠO BỒI DƯỠNG</w:t>
      </w:r>
    </w:p>
    <w:p>
      <w:pPr>
        <w:spacing w:after="100"/>
        <w:jc w:val="center"/>
      </w:pPr>
      <w:r>
        <w:rPr>
          <w:i/>
          <w:iCs/>
          <w:color w:val="2E74B5"/>
          <w:sz w:val="26"/>
          <w:szCs w:val="26"/>
        </w:rPr>
        <w:t xml:space="preserve">(Chương trình bồi dưỡng – Khóa bồi dưỡng – Học viên tham gia bồi dưỡng)</w:t>
      </w:r>
    </w:p>
    <w:p>
      <w:pPr>
        <w:spacing w:after="100" w:before="300"/>
        <w:jc w:val="center"/>
      </w:pPr>
      <w:r>
        <w:rPr>
          <w:color w:val="595959"/>
          <w:sz w:val="22"/>
          <w:szCs w:val="22"/>
        </w:rPr>
        <w:t xml:space="preserve">Áp dụng cho đơn vị đào tạo bồi dưỡng thuộc trường đại học sư phạm</w:t>
      </w:r>
    </w:p>
    <w:p>
      <w:pPr>
        <w:spacing w:before="1200"/>
        <w:jc w:val="center"/>
      </w:pPr>
      <w:r>
        <w:rPr>
          <w:color w:val="595959"/>
          <w:sz w:val="20"/>
          <w:szCs w:val="20"/>
        </w:rPr>
        <w:t xml:space="preserve">Ngày biên soạn: 31/08/2026</w:t>
      </w:r>
    </w:p>
    <w:p>
      <w:r>
        <w:br w:type="page"/>
      </w:r>
    </w:p>
    <w:p>
      <w:pPr>
        <w:pStyle w:val="Heading1"/>
        <w:spacing w:after="200" w:before="400"/>
      </w:pPr>
      <w:r>
        <w:rPr>
          <w:b/>
          <w:bCs/>
          <w:color w:val="1F3864"/>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60"/>
      </w:pPr>
      <w:r>
        <w:rPr>
          <w:i/>
          <w:iCs/>
          <w:color w:val="595959"/>
          <w:sz w:val="20"/>
          <w:szCs w:val="20"/>
        </w:rPr>
        <w:t xml:space="preserve">(Nhấp chuột phải vào mục lục → Update Field, hoặc nhấn F9 để cập nhật số trang sau khi mở file trong Word)</w:t>
      </w:r>
    </w:p>
    <w:p>
      <w:r>
        <w:br w:type="page"/>
      </w:r>
    </w:p>
    <w:p>
      <w:pPr>
        <w:pStyle w:val="Heading1"/>
        <w:spacing w:after="200" w:before="400"/>
      </w:pPr>
      <w:r>
        <w:rPr>
          <w:b/>
          <w:bCs/>
          <w:color w:val="1F3864"/>
        </w:rPr>
        <w:t xml:space="preserve">I. MỤC TIÊU VÀ PHẠM VI HỆ THỐNG</w:t>
      </w:r>
    </w:p>
    <w:p>
      <w:pPr>
        <w:pStyle w:val="Heading2"/>
        <w:spacing w:after="150" w:before="300"/>
      </w:pPr>
      <w:r>
        <w:rPr>
          <w:b/>
          <w:bCs/>
          <w:color w:val="1F3864"/>
        </w:rPr>
        <w:t xml:space="preserve">1. Mục tiêu</w:t>
      </w:r>
    </w:p>
    <w:p>
      <w:pPr>
        <w:pStyle w:val="ListParagraph"/>
        <w:numPr>
          <w:ilvl w:val="0"/>
          <w:numId w:val="2"/>
        </w:numPr>
        <w:spacing w:after="60"/>
      </w:pPr>
      <w:r>
        <w:t xml:space="preserve">Tin học hóa toàn bộ quy trình quản lý hoạt động bồi dưỡng của đơn vị, thay thế cách quản lý thủ công, rời rạc trên Excel và văn bản giấy.</w:t>
      </w:r>
    </w:p>
    <w:p>
      <w:pPr>
        <w:pStyle w:val="ListParagraph"/>
        <w:numPr>
          <w:ilvl w:val="0"/>
          <w:numId w:val="2"/>
        </w:numPr>
        <w:spacing w:after="60"/>
      </w:pPr>
      <w:r>
        <w:t xml:space="preserve">Quản lý xuyên suốt vòng đời một chương trình bồi dưỡng: xây dựng chương trình → mở khóa → tuyển sinh → tổ chức giảng dạy → thu học phí → đánh giá → cấp chứng chỉ.</w:t>
      </w:r>
    </w:p>
    <w:p>
      <w:pPr>
        <w:pStyle w:val="ListParagraph"/>
        <w:numPr>
          <w:ilvl w:val="0"/>
          <w:numId w:val="2"/>
        </w:numPr>
        <w:spacing w:after="60"/>
      </w:pPr>
      <w:r>
        <w:t xml:space="preserve">Lưu trữ tập trung, chính xác dữ liệu chương trình, khóa bồi dưỡng, học viên, học phí, kết quả học tập; tra cứu và báo cáo nhanh chóng.</w:t>
      </w:r>
    </w:p>
    <w:p>
      <w:pPr>
        <w:pStyle w:val="ListParagraph"/>
        <w:numPr>
          <w:ilvl w:val="0"/>
          <w:numId w:val="2"/>
        </w:numPr>
        <w:spacing w:after="60"/>
      </w:pPr>
      <w:r>
        <w:t xml:space="preserve">Hỗ trợ công tác báo cáo với Ban giám hiệu, Bộ/Sở Giáo dục và Đào tạo; phục vụ kiểm định, thanh tra, lưu trữ hồ sơ lâu dài.</w:t>
      </w:r>
    </w:p>
    <w:p>
      <w:pPr>
        <w:spacing w:after="100"/>
      </w:pPr>
    </w:p>
    <w:p>
      <w:pPr>
        <w:pStyle w:val="Heading2"/>
        <w:spacing w:after="150" w:before="300"/>
      </w:pPr>
      <w:r>
        <w:rPr>
          <w:b/>
          <w:bCs/>
          <w:color w:val="1F3864"/>
        </w:rPr>
        <w:t xml:space="preserve">2. Phạm vi nghiệp vụ</w:t>
      </w:r>
    </w:p>
    <w:p>
      <w:pPr>
        <w:spacing w:after="120"/>
      </w:pPr>
      <w:r>
        <w:t xml:space="preserve">Hệ thống tập trung quản lý ba nhóm đối tượng cốt lõi:</w:t>
      </w:r>
    </w:p>
    <w:p>
      <w:pPr>
        <w:pStyle w:val="ListParagraph"/>
        <w:numPr>
          <w:ilvl w:val="0"/>
          <w:numId w:val="2"/>
        </w:numPr>
        <w:spacing w:after="60"/>
      </w:pPr>
      <w:r>
        <w:t xml:space="preserve">Chương trình bồi dưỡng (nội dung, học phần/chuyên đề, thời lượng, đối tượng áp dụng).</w:t>
      </w:r>
    </w:p>
    <w:p>
      <w:pPr>
        <w:pStyle w:val="ListParagraph"/>
        <w:numPr>
          <w:ilvl w:val="0"/>
          <w:numId w:val="2"/>
        </w:numPr>
        <w:spacing w:after="60"/>
      </w:pPr>
      <w:r>
        <w:t xml:space="preserve">Khóa bồi dưỡng (các khóa học cụ thể được mở theo từng chương trình, theo từng đợt).</w:t>
      </w:r>
    </w:p>
    <w:p>
      <w:pPr>
        <w:pStyle w:val="ListParagraph"/>
        <w:numPr>
          <w:ilvl w:val="0"/>
          <w:numId w:val="2"/>
        </w:numPr>
        <w:spacing w:after="60"/>
      </w:pPr>
      <w:r>
        <w:t xml:space="preserve">Học viên tham gia bồi dưỡng (đăng ký, danh sách khóa, điểm danh, học phí, kết quả, chứng chỉ).</w:t>
      </w:r>
    </w:p>
    <w:p>
      <w:pPr>
        <w:spacing w:after="120"/>
      </w:pPr>
      <w:r>
        <w:t xml:space="preserve">Cùng với các đối tượng liên quan cần quản lý kèm theo để các nghiệp vụ trên vận hành đầy đủ: giảng viên, thời khóa biểu/lịch giảng dạy, học phí, điểm và kết quả học tập, chứng chỉ/chứng nhận, người dùng và phân quyền.</w:t>
      </w:r>
    </w:p>
    <w:p>
      <w:pPr>
        <w:spacing w:after="100"/>
      </w:pPr>
    </w:p>
    <w:p>
      <w:pPr>
        <w:pStyle w:val="Heading2"/>
        <w:spacing w:after="150" w:before="300"/>
      </w:pPr>
      <w:r>
        <w:rPr>
          <w:b/>
          <w:bCs/>
          <w:color w:val="1F3864"/>
        </w:rPr>
        <w:t xml:space="preserve">3. Đối tượng sử dụng hệ thống</w:t>
      </w:r>
    </w:p>
    <w:p>
      <w:pPr>
        <w:pStyle w:val="ListParagraph"/>
        <w:numPr>
          <w:ilvl w:val="0"/>
          <w:numId w:val="2"/>
        </w:numPr>
        <w:spacing w:after="60"/>
      </w:pPr>
      <w:r>
        <w:t xml:space="preserve">Phòng/Trung tâm bồi dưỡng – đơn vị quản lý nghiệp vụ chính (tạo chương trình, mở khóa, xét duyệt học viên, cấp chứng chỉ).</w:t>
      </w:r>
    </w:p>
    <w:p>
      <w:pPr>
        <w:pStyle w:val="ListParagraph"/>
        <w:numPr>
          <w:ilvl w:val="0"/>
          <w:numId w:val="2"/>
        </w:numPr>
        <w:spacing w:after="60"/>
      </w:pPr>
      <w:r>
        <w:t xml:space="preserve">Giảng viên tham gia giảng dạy (điểm danh, nhập điểm, xem thời khóa biểu).</w:t>
      </w:r>
    </w:p>
    <w:p>
      <w:pPr>
        <w:pStyle w:val="ListParagraph"/>
        <w:numPr>
          <w:ilvl w:val="0"/>
          <w:numId w:val="2"/>
        </w:numPr>
        <w:spacing w:after="60"/>
      </w:pPr>
      <w:r>
        <w:t xml:space="preserve">Học viên (đăng ký học, xem lịch học, xem điểm, nộp học phí, tra cứu/tải chứng chỉ).</w:t>
      </w:r>
    </w:p>
    <w:p>
      <w:pPr>
        <w:pStyle w:val="ListParagraph"/>
        <w:numPr>
          <w:ilvl w:val="0"/>
          <w:numId w:val="2"/>
        </w:numPr>
        <w:spacing w:after="60"/>
      </w:pPr>
      <w:r>
        <w:t xml:space="preserve">Cán bộ tài chính – kiểm tra, xác nhận học viên đã nộp học phí; đối soát công nợ và lập báo cáo thu học phí theo khóa.</w:t>
      </w:r>
    </w:p>
    <w:p>
      <w:pPr>
        <w:pStyle w:val="ListParagraph"/>
        <w:numPr>
          <w:ilvl w:val="0"/>
          <w:numId w:val="2"/>
        </w:numPr>
        <w:spacing w:after="60"/>
      </w:pPr>
      <w:r>
        <w:t xml:space="preserve">Ban giám hiệu/lãnh đạo (phê duyệt chương trình, kết quả, xem báo cáo tổng hợp).</w:t>
      </w:r>
    </w:p>
    <w:p>
      <w:pPr>
        <w:pStyle w:val="ListParagraph"/>
        <w:numPr>
          <w:ilvl w:val="0"/>
          <w:numId w:val="2"/>
        </w:numPr>
        <w:spacing w:after="60"/>
      </w:pPr>
      <w:r>
        <w:t xml:space="preserve">Quản trị hệ thống/bộ phận IT (quản lý người dùng, phân quyền, sao lưu, bảo trì).</w:t>
      </w:r>
    </w:p>
    <w:p>
      <w:r>
        <w:br w:type="page"/>
      </w:r>
    </w:p>
    <w:p>
      <w:pPr>
        <w:pStyle w:val="Heading1"/>
        <w:spacing w:after="200" w:before="400"/>
      </w:pPr>
      <w:r>
        <w:rPr>
          <w:b/>
          <w:bCs/>
          <w:color w:val="1F3864"/>
        </w:rPr>
        <w:t xml:space="preserve">II. QUY TRÌNH TỔNG THỂ XÂY DỰNG HỆ THỐNG (7 GIAI ĐOẠN)</w:t>
      </w:r>
    </w:p>
    <w:p>
      <w:pPr>
        <w:spacing w:after="120"/>
      </w:pPr>
      <w:r>
        <w:t xml:space="preserve">Việc xây dựng hệ thống nghiệp vụ quản lý đào tạo bồi dưỡng nên được thực hiện theo 7 giai đoạn kế tiếp nhau như sau:</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350"/>
        <w:gridCol w:w="3150"/>
        <w:gridCol w:w="2700"/>
        <w:gridCol w:w="1826"/>
      </w:tblGrid>
      <w:tr>
        <w:trPr>
          <w:tblHeader/>
        </w:trPr>
        <w:tc>
          <w:tcPr>
            <w:tcW w:type="dxa" w:w="1350"/>
            <w:shd w:fill="1F3864" w:val="clear"/>
            <w:tcMar>
              <w:top w:type="dxa" w:w="80"/>
              <w:left w:type="dxa" w:w="100"/>
              <w:bottom w:type="dxa" w:w="80"/>
              <w:right w:type="dxa" w:w="100"/>
            </w:tcMar>
            <w:vAlign w:val="center"/>
          </w:tcPr>
          <w:p>
            <w:pPr>
              <w:jc w:val="center"/>
            </w:pPr>
            <w:r>
              <w:rPr>
                <w:b/>
                <w:bCs/>
                <w:color w:val="FFFFFF"/>
                <w:sz w:val="20"/>
                <w:szCs w:val="20"/>
              </w:rPr>
              <w:t xml:space="preserve">Giai đoạn</w:t>
            </w:r>
          </w:p>
        </w:tc>
        <w:tc>
          <w:tcPr>
            <w:tcW w:type="dxa" w:w="3150"/>
            <w:shd w:fill="1F3864" w:val="clear"/>
            <w:tcMar>
              <w:top w:type="dxa" w:w="80"/>
              <w:left w:type="dxa" w:w="100"/>
              <w:bottom w:type="dxa" w:w="80"/>
              <w:right w:type="dxa" w:w="100"/>
            </w:tcMar>
            <w:vAlign w:val="center"/>
          </w:tcPr>
          <w:p>
            <w:pPr>
              <w:jc w:val="center"/>
            </w:pPr>
            <w:r>
              <w:rPr>
                <w:b/>
                <w:bCs/>
                <w:color w:val="FFFFFF"/>
                <w:sz w:val="20"/>
                <w:szCs w:val="20"/>
              </w:rPr>
              <w:t xml:space="preserve">Nội dung chính</w:t>
            </w:r>
          </w:p>
        </w:tc>
        <w:tc>
          <w:tcPr>
            <w:tcW w:type="dxa" w:w="2700"/>
            <w:shd w:fill="1F3864" w:val="clear"/>
            <w:tcMar>
              <w:top w:type="dxa" w:w="80"/>
              <w:left w:type="dxa" w:w="100"/>
              <w:bottom w:type="dxa" w:w="80"/>
              <w:right w:type="dxa" w:w="100"/>
            </w:tcMar>
            <w:vAlign w:val="center"/>
          </w:tcPr>
          <w:p>
            <w:pPr>
              <w:jc w:val="center"/>
            </w:pPr>
            <w:r>
              <w:rPr>
                <w:b/>
                <w:bCs/>
                <w:color w:val="FFFFFF"/>
                <w:sz w:val="20"/>
                <w:szCs w:val="20"/>
              </w:rPr>
              <w:t xml:space="preserve">Đầu ra</w:t>
            </w:r>
          </w:p>
        </w:tc>
        <w:tc>
          <w:tcPr>
            <w:tcW w:type="dxa" w:w="1826"/>
            <w:shd w:fill="1F3864" w:val="clear"/>
            <w:tcMar>
              <w:top w:type="dxa" w:w="80"/>
              <w:left w:type="dxa" w:w="100"/>
              <w:bottom w:type="dxa" w:w="80"/>
              <w:right w:type="dxa" w:w="100"/>
            </w:tcMar>
            <w:vAlign w:val="center"/>
          </w:tcPr>
          <w:p>
            <w:pPr>
              <w:jc w:val="center"/>
            </w:pPr>
            <w:r>
              <w:rPr>
                <w:b/>
                <w:bCs/>
                <w:color w:val="FFFFFF"/>
                <w:sz w:val="20"/>
                <w:szCs w:val="20"/>
              </w:rPr>
              <w:t xml:space="preserve">Thời gian tham khảo</w:t>
            </w:r>
          </w:p>
        </w:tc>
      </w:tr>
      <w:tr>
        <w:tc>
          <w:tcPr>
            <w:tcW w:type="dxa" w:w="1350"/>
            <w:tcMar>
              <w:top w:type="dxa" w:w="80"/>
              <w:left w:type="dxa" w:w="100"/>
              <w:bottom w:type="dxa" w:w="80"/>
              <w:right w:type="dxa" w:w="100"/>
            </w:tcMar>
            <w:vAlign w:val="center"/>
          </w:tcPr>
          <w:p>
            <w:pPr>
              <w:jc w:val="left"/>
            </w:pPr>
            <w:r>
              <w:rPr>
                <w:b w:val="false"/>
                <w:bCs w:val="false"/>
                <w:color w:val="000000"/>
                <w:sz w:val="20"/>
                <w:szCs w:val="20"/>
              </w:rPr>
              <w:t xml:space="preserve">1. Khảo sát &amp; phân tích yêu cầu</w:t>
            </w:r>
          </w:p>
        </w:tc>
        <w:tc>
          <w:tcPr>
            <w:tcW w:type="dxa" w:w="3150"/>
            <w:tcMar>
              <w:top w:type="dxa" w:w="80"/>
              <w:left w:type="dxa" w:w="100"/>
              <w:bottom w:type="dxa" w:w="80"/>
              <w:right w:type="dxa" w:w="100"/>
            </w:tcMar>
            <w:vAlign w:val="center"/>
          </w:tcPr>
          <w:p>
            <w:pPr>
              <w:jc w:val="left"/>
            </w:pPr>
            <w:r>
              <w:rPr>
                <w:b w:val="false"/>
                <w:bCs w:val="false"/>
                <w:color w:val="000000"/>
                <w:sz w:val="20"/>
                <w:szCs w:val="20"/>
              </w:rPr>
              <w:t xml:space="preserve">Khảo sát hiện trạng, thu thập yêu cầu các bên liên quan, rà soát căn cứ pháp lý</w:t>
            </w:r>
          </w:p>
        </w:tc>
        <w:tc>
          <w:tcPr>
            <w:tcW w:type="dxa" w:w="2700"/>
            <w:tcMar>
              <w:top w:type="dxa" w:w="80"/>
              <w:left w:type="dxa" w:w="100"/>
              <w:bottom w:type="dxa" w:w="80"/>
              <w:right w:type="dxa" w:w="100"/>
            </w:tcMar>
            <w:vAlign w:val="center"/>
          </w:tcPr>
          <w:p>
            <w:pPr>
              <w:jc w:val="left"/>
            </w:pPr>
            <w:r>
              <w:rPr>
                <w:b w:val="false"/>
                <w:bCs w:val="false"/>
                <w:color w:val="000000"/>
                <w:sz w:val="20"/>
                <w:szCs w:val="20"/>
              </w:rPr>
              <w:t xml:space="preserve">Tài liệu đặc tả yêu cầu nghiệp vụ (BRD)</w:t>
            </w:r>
          </w:p>
        </w:tc>
        <w:tc>
          <w:tcPr>
            <w:tcW w:type="dxa" w:w="1826"/>
            <w:tcMar>
              <w:top w:type="dxa" w:w="80"/>
              <w:left w:type="dxa" w:w="100"/>
              <w:bottom w:type="dxa" w:w="80"/>
              <w:right w:type="dxa" w:w="100"/>
            </w:tcMar>
            <w:vAlign w:val="center"/>
          </w:tcPr>
          <w:p>
            <w:pPr>
              <w:jc w:val="left"/>
            </w:pPr>
            <w:r>
              <w:rPr>
                <w:b w:val="false"/>
                <w:bCs w:val="false"/>
                <w:color w:val="000000"/>
                <w:sz w:val="20"/>
                <w:szCs w:val="20"/>
              </w:rPr>
              <w:t xml:space="preserve">2 – 4 tuần</w:t>
            </w:r>
          </w:p>
        </w:tc>
      </w:tr>
      <w:tr>
        <w:tc>
          <w:tcPr>
            <w:tcW w:type="dxa" w:w="1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 Thiết kế quy trình nghiệp vụ</w:t>
            </w:r>
          </w:p>
        </w:tc>
        <w:tc>
          <w:tcPr>
            <w:tcW w:type="dxa" w:w="31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Chuẩn hóa và thống nhất lưu đồ (workflow) cho từng nghiệp vụ</w:t>
            </w:r>
          </w:p>
        </w:tc>
        <w:tc>
          <w:tcPr>
            <w:tcW w:type="dxa" w:w="27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Bộ quy trình nghiệp vụ chuẩn (SOP)</w:t>
            </w:r>
          </w:p>
        </w:tc>
        <w:tc>
          <w:tcPr>
            <w:tcW w:type="dxa" w:w="18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 – 3 tuần</w:t>
            </w:r>
          </w:p>
        </w:tc>
      </w:tr>
      <w:tr>
        <w:tc>
          <w:tcPr>
            <w:tcW w:type="dxa" w:w="1350"/>
            <w:tcMar>
              <w:top w:type="dxa" w:w="80"/>
              <w:left w:type="dxa" w:w="100"/>
              <w:bottom w:type="dxa" w:w="80"/>
              <w:right w:type="dxa" w:w="100"/>
            </w:tcMar>
            <w:vAlign w:val="center"/>
          </w:tcPr>
          <w:p>
            <w:pPr>
              <w:jc w:val="left"/>
            </w:pPr>
            <w:r>
              <w:rPr>
                <w:b w:val="false"/>
                <w:bCs w:val="false"/>
                <w:color w:val="000000"/>
                <w:sz w:val="20"/>
                <w:szCs w:val="20"/>
              </w:rPr>
              <w:t xml:space="preserve">3. Thiết kế hệ thống thông tin</w:t>
            </w:r>
          </w:p>
        </w:tc>
        <w:tc>
          <w:tcPr>
            <w:tcW w:type="dxa" w:w="3150"/>
            <w:tcMar>
              <w:top w:type="dxa" w:w="80"/>
              <w:left w:type="dxa" w:w="100"/>
              <w:bottom w:type="dxa" w:w="80"/>
              <w:right w:type="dxa" w:w="100"/>
            </w:tcMar>
            <w:vAlign w:val="center"/>
          </w:tcPr>
          <w:p>
            <w:pPr>
              <w:jc w:val="left"/>
            </w:pPr>
            <w:r>
              <w:rPr>
                <w:b w:val="false"/>
                <w:bCs w:val="false"/>
                <w:color w:val="000000"/>
                <w:sz w:val="20"/>
                <w:szCs w:val="20"/>
              </w:rPr>
              <w:t xml:space="preserve">Thiết kế mô hình dữ liệu, chức năng, phân quyền, giao diện</w:t>
            </w:r>
          </w:p>
        </w:tc>
        <w:tc>
          <w:tcPr>
            <w:tcW w:type="dxa" w:w="2700"/>
            <w:tcMar>
              <w:top w:type="dxa" w:w="80"/>
              <w:left w:type="dxa" w:w="100"/>
              <w:bottom w:type="dxa" w:w="80"/>
              <w:right w:type="dxa" w:w="100"/>
            </w:tcMar>
            <w:vAlign w:val="center"/>
          </w:tcPr>
          <w:p>
            <w:pPr>
              <w:jc w:val="left"/>
            </w:pPr>
            <w:r>
              <w:rPr>
                <w:b w:val="false"/>
                <w:bCs w:val="false"/>
                <w:color w:val="000000"/>
                <w:sz w:val="20"/>
                <w:szCs w:val="20"/>
              </w:rPr>
              <w:t xml:space="preserve">Tài liệu thiết kế hệ thống (SRS/SDD)</w:t>
            </w:r>
          </w:p>
        </w:tc>
        <w:tc>
          <w:tcPr>
            <w:tcW w:type="dxa" w:w="1826"/>
            <w:tcMar>
              <w:top w:type="dxa" w:w="80"/>
              <w:left w:type="dxa" w:w="100"/>
              <w:bottom w:type="dxa" w:w="80"/>
              <w:right w:type="dxa" w:w="100"/>
            </w:tcMar>
            <w:vAlign w:val="center"/>
          </w:tcPr>
          <w:p>
            <w:pPr>
              <w:jc w:val="left"/>
            </w:pPr>
            <w:r>
              <w:rPr>
                <w:b w:val="false"/>
                <w:bCs w:val="false"/>
                <w:color w:val="000000"/>
                <w:sz w:val="20"/>
                <w:szCs w:val="20"/>
              </w:rPr>
              <w:t xml:space="preserve">3 – 4 tuần</w:t>
            </w:r>
          </w:p>
        </w:tc>
      </w:tr>
      <w:tr>
        <w:tc>
          <w:tcPr>
            <w:tcW w:type="dxa" w:w="1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 Xây dựng/phát triển</w:t>
            </w:r>
          </w:p>
        </w:tc>
        <w:tc>
          <w:tcPr>
            <w:tcW w:type="dxa" w:w="31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Lập trình, cấu hình theo thiết kế, ưu tiên module cốt lõi</w:t>
            </w:r>
          </w:p>
        </w:tc>
        <w:tc>
          <w:tcPr>
            <w:tcW w:type="dxa" w:w="27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Phần mềm bản dùng thử (beta)</w:t>
            </w:r>
          </w:p>
        </w:tc>
        <w:tc>
          <w:tcPr>
            <w:tcW w:type="dxa" w:w="18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6 – 12 tuần</w:t>
            </w:r>
          </w:p>
        </w:tc>
      </w:tr>
      <w:tr>
        <w:tc>
          <w:tcPr>
            <w:tcW w:type="dxa" w:w="1350"/>
            <w:tcMar>
              <w:top w:type="dxa" w:w="80"/>
              <w:left w:type="dxa" w:w="100"/>
              <w:bottom w:type="dxa" w:w="80"/>
              <w:right w:type="dxa" w:w="100"/>
            </w:tcMar>
            <w:vAlign w:val="center"/>
          </w:tcPr>
          <w:p>
            <w:pPr>
              <w:jc w:val="left"/>
            </w:pPr>
            <w:r>
              <w:rPr>
                <w:b w:val="false"/>
                <w:bCs w:val="false"/>
                <w:color w:val="000000"/>
                <w:sz w:val="20"/>
                <w:szCs w:val="20"/>
              </w:rPr>
              <w:t xml:space="preserve">5. Kiểm thử</w:t>
            </w:r>
          </w:p>
        </w:tc>
        <w:tc>
          <w:tcPr>
            <w:tcW w:type="dxa" w:w="3150"/>
            <w:tcMar>
              <w:top w:type="dxa" w:w="80"/>
              <w:left w:type="dxa" w:w="100"/>
              <w:bottom w:type="dxa" w:w="80"/>
              <w:right w:type="dxa" w:w="100"/>
            </w:tcMar>
            <w:vAlign w:val="center"/>
          </w:tcPr>
          <w:p>
            <w:pPr>
              <w:jc w:val="left"/>
            </w:pPr>
            <w:r>
              <w:rPr>
                <w:b w:val="false"/>
                <w:bCs w:val="false"/>
                <w:color w:val="000000"/>
                <w:sz w:val="20"/>
                <w:szCs w:val="20"/>
              </w:rPr>
              <w:t xml:space="preserve">Kiểm thử chức năng, dữ liệu, bảo mật, UAT với người dùng thật</w:t>
            </w:r>
          </w:p>
        </w:tc>
        <w:tc>
          <w:tcPr>
            <w:tcW w:type="dxa" w:w="2700"/>
            <w:tcMar>
              <w:top w:type="dxa" w:w="80"/>
              <w:left w:type="dxa" w:w="100"/>
              <w:bottom w:type="dxa" w:w="80"/>
              <w:right w:type="dxa" w:w="100"/>
            </w:tcMar>
            <w:vAlign w:val="center"/>
          </w:tcPr>
          <w:p>
            <w:pPr>
              <w:jc w:val="left"/>
            </w:pPr>
            <w:r>
              <w:rPr>
                <w:b w:val="false"/>
                <w:bCs w:val="false"/>
                <w:color w:val="000000"/>
                <w:sz w:val="20"/>
                <w:szCs w:val="20"/>
              </w:rPr>
              <w:t xml:space="preserve">Báo cáo kiểm thử, lỗi đã xử lý</w:t>
            </w:r>
          </w:p>
        </w:tc>
        <w:tc>
          <w:tcPr>
            <w:tcW w:type="dxa" w:w="1826"/>
            <w:tcMar>
              <w:top w:type="dxa" w:w="80"/>
              <w:left w:type="dxa" w:w="100"/>
              <w:bottom w:type="dxa" w:w="80"/>
              <w:right w:type="dxa" w:w="100"/>
            </w:tcMar>
            <w:vAlign w:val="center"/>
          </w:tcPr>
          <w:p>
            <w:pPr>
              <w:jc w:val="left"/>
            </w:pPr>
            <w:r>
              <w:rPr>
                <w:b w:val="false"/>
                <w:bCs w:val="false"/>
                <w:color w:val="000000"/>
                <w:sz w:val="20"/>
                <w:szCs w:val="20"/>
              </w:rPr>
              <w:t xml:space="preserve">2 – 3 tuần</w:t>
            </w:r>
          </w:p>
        </w:tc>
      </w:tr>
      <w:tr>
        <w:tc>
          <w:tcPr>
            <w:tcW w:type="dxa" w:w="1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6. Triển khai &amp; đào tạo</w:t>
            </w:r>
          </w:p>
        </w:tc>
        <w:tc>
          <w:tcPr>
            <w:tcW w:type="dxa" w:w="31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Chuyển đổi dữ liệu, chạy song song, tập huấn, go-live</w:t>
            </w:r>
          </w:p>
        </w:tc>
        <w:tc>
          <w:tcPr>
            <w:tcW w:type="dxa" w:w="27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Hệ thống vận hành chính thức</w:t>
            </w:r>
          </w:p>
        </w:tc>
        <w:tc>
          <w:tcPr>
            <w:tcW w:type="dxa" w:w="18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 – 4 tuần</w:t>
            </w:r>
          </w:p>
        </w:tc>
      </w:tr>
      <w:tr>
        <w:tc>
          <w:tcPr>
            <w:tcW w:type="dxa" w:w="1350"/>
            <w:tcMar>
              <w:top w:type="dxa" w:w="80"/>
              <w:left w:type="dxa" w:w="100"/>
              <w:bottom w:type="dxa" w:w="80"/>
              <w:right w:type="dxa" w:w="100"/>
            </w:tcMar>
            <w:vAlign w:val="center"/>
          </w:tcPr>
          <w:p>
            <w:pPr>
              <w:jc w:val="left"/>
            </w:pPr>
            <w:r>
              <w:rPr>
                <w:b w:val="false"/>
                <w:bCs w:val="false"/>
                <w:color w:val="000000"/>
                <w:sz w:val="20"/>
                <w:szCs w:val="20"/>
              </w:rPr>
              <w:t xml:space="preserve">7. Vận hành &amp; cải tiến</w:t>
            </w:r>
          </w:p>
        </w:tc>
        <w:tc>
          <w:tcPr>
            <w:tcW w:type="dxa" w:w="3150"/>
            <w:tcMar>
              <w:top w:type="dxa" w:w="80"/>
              <w:left w:type="dxa" w:w="100"/>
              <w:bottom w:type="dxa" w:w="80"/>
              <w:right w:type="dxa" w:w="100"/>
            </w:tcMar>
            <w:vAlign w:val="center"/>
          </w:tcPr>
          <w:p>
            <w:pPr>
              <w:jc w:val="left"/>
            </w:pPr>
            <w:r>
              <w:rPr>
                <w:b w:val="false"/>
                <w:bCs w:val="false"/>
                <w:color w:val="000000"/>
                <w:sz w:val="20"/>
                <w:szCs w:val="20"/>
              </w:rPr>
              <w:t xml:space="preserve">Hỗ trợ kỹ thuật, sao lưu, thu thập phản hồi, nâng cấp</w:t>
            </w:r>
          </w:p>
        </w:tc>
        <w:tc>
          <w:tcPr>
            <w:tcW w:type="dxa" w:w="2700"/>
            <w:tcMar>
              <w:top w:type="dxa" w:w="80"/>
              <w:left w:type="dxa" w:w="100"/>
              <w:bottom w:type="dxa" w:w="80"/>
              <w:right w:type="dxa" w:w="100"/>
            </w:tcMar>
            <w:vAlign w:val="center"/>
          </w:tcPr>
          <w:p>
            <w:pPr>
              <w:jc w:val="left"/>
            </w:pPr>
            <w:r>
              <w:rPr>
                <w:b w:val="false"/>
                <w:bCs w:val="false"/>
                <w:color w:val="000000"/>
                <w:sz w:val="20"/>
                <w:szCs w:val="20"/>
              </w:rPr>
              <w:t xml:space="preserve">Kế hoạch bảo trì, các bản cập nhật</w:t>
            </w:r>
          </w:p>
        </w:tc>
        <w:tc>
          <w:tcPr>
            <w:tcW w:type="dxa" w:w="1826"/>
            <w:tcMar>
              <w:top w:type="dxa" w:w="80"/>
              <w:left w:type="dxa" w:w="100"/>
              <w:bottom w:type="dxa" w:w="80"/>
              <w:right w:type="dxa" w:w="100"/>
            </w:tcMar>
            <w:vAlign w:val="center"/>
          </w:tcPr>
          <w:p>
            <w:pPr>
              <w:jc w:val="left"/>
            </w:pPr>
            <w:r>
              <w:rPr>
                <w:b w:val="false"/>
                <w:bCs w:val="false"/>
                <w:color w:val="000000"/>
                <w:sz w:val="20"/>
                <w:szCs w:val="20"/>
              </w:rPr>
              <w:t xml:space="preserve">Thường xuyên</w:t>
            </w:r>
          </w:p>
        </w:tc>
      </w:tr>
    </w:tbl>
    <w:p>
      <w:r>
        <w:br w:type="page"/>
      </w:r>
    </w:p>
    <w:p>
      <w:pPr>
        <w:pStyle w:val="Heading1"/>
        <w:spacing w:after="200" w:before="400"/>
      </w:pPr>
      <w:r>
        <w:rPr>
          <w:b/>
          <w:bCs/>
          <w:color w:val="1F3864"/>
        </w:rPr>
        <w:t xml:space="preserve">III. HƯỚNG DẪN CHI TIẾT TỪNG GIAI ĐOẠN</w:t>
      </w:r>
    </w:p>
    <w:p>
      <w:pPr>
        <w:pStyle w:val="Heading2"/>
        <w:spacing w:after="150" w:before="300"/>
      </w:pPr>
      <w:r>
        <w:rPr>
          <w:b/>
          <w:bCs/>
          <w:color w:val="1F3864"/>
        </w:rPr>
        <w:t xml:space="preserve">1. Giai đoạn 1: Khảo sát và xác định yêu cầu nghiệp vụ</w:t>
      </w:r>
    </w:p>
    <w:p>
      <w:pPr>
        <w:pStyle w:val="ListParagraph"/>
        <w:numPr>
          <w:ilvl w:val="0"/>
          <w:numId w:val="2"/>
        </w:numPr>
        <w:spacing w:after="60"/>
      </w:pPr>
      <w:r>
        <w:t xml:space="preserve">Bước 1: Thành lập tổ/nhóm triển khai gồm đại diện Phòng/Trung tâm bồi dưỡng, giảng viên, bộ phận IT và lãnh đạo phê duyệt.</w:t>
      </w:r>
    </w:p>
    <w:p>
      <w:pPr>
        <w:pStyle w:val="ListParagraph"/>
        <w:numPr>
          <w:ilvl w:val="0"/>
          <w:numId w:val="2"/>
        </w:numPr>
        <w:spacing w:after="60"/>
      </w:pPr>
      <w:r>
        <w:t xml:space="preserve">Bước 2: Khảo sát hiện trạng – thu thập toàn bộ biểu mẫu, sổ sách, file Excel đang dùng để quản lý chương trình/khóa/học viên/học phí; ghi nhận các bất cập (trùng lặp dữ liệu, khó tra cứu, báo cáo thủ công...).</w:t>
      </w:r>
    </w:p>
    <w:p>
      <w:pPr>
        <w:pStyle w:val="ListParagraph"/>
        <w:numPr>
          <w:ilvl w:val="0"/>
          <w:numId w:val="2"/>
        </w:numPr>
        <w:spacing w:after="60"/>
      </w:pPr>
      <w:r>
        <w:t xml:space="preserve">Bước 3: Rà soát căn cứ pháp lý và quy định liên quan đến hoạt động bồi dưỡng (quy chế bồi dưỡng của trường, quy định của Bộ Giáo dục và Đào tạo về bồi dưỡng thường xuyên, bồi dưỡng theo tiêu chuẩn chức danh nghề nghiệp, quy định cấp chứng chỉ, quy định về thu – quản lý học phí...) để hệ thống tuân thủ đúng quy trình bắt buộc.</w:t>
      </w:r>
    </w:p>
    <w:p>
      <w:pPr>
        <w:pStyle w:val="ListParagraph"/>
        <w:numPr>
          <w:ilvl w:val="0"/>
          <w:numId w:val="2"/>
        </w:numPr>
        <w:spacing w:after="60"/>
      </w:pPr>
      <w:r>
        <w:t xml:space="preserve">Bước 4: Phỏng vấn/họp với các bên liên quan để xác định yêu cầu: cán bộ quản lý đào tạo, giảng viên, đại diện học viên, cán bộ tài chính (phụ trách thu học phí), bộ phận IT.</w:t>
      </w:r>
    </w:p>
    <w:p>
      <w:pPr>
        <w:pStyle w:val="ListParagraph"/>
        <w:numPr>
          <w:ilvl w:val="0"/>
          <w:numId w:val="2"/>
        </w:numPr>
        <w:spacing w:after="60"/>
      </w:pPr>
      <w:r>
        <w:t xml:space="preserve">Bước 5: Tổng hợp, phân tích và biên soạn Tài liệu đặc tả yêu cầu nghiệp vụ (BRD): danh sách nghiệp vụ cần tin học hóa, mức độ ưu tiên, các ràng buộc, yêu cầu phi chức năng (bảo mật, số lượng người dùng, khả năng tích hợp với hệ thống khác nếu có).</w:t>
      </w:r>
    </w:p>
    <w:p>
      <w:pPr>
        <w:pStyle w:val="ListParagraph"/>
        <w:numPr>
          <w:ilvl w:val="0"/>
          <w:numId w:val="2"/>
        </w:numPr>
        <w:spacing w:after="60"/>
      </w:pPr>
      <w:r>
        <w:t xml:space="preserve">Bước 6: Trình lãnh đạo phê duyệt tài liệu yêu cầu trước khi chuyển sang giai đoạn thiết kế.</w:t>
      </w:r>
    </w:p>
    <w:p>
      <w:pPr>
        <w:spacing w:after="200"/>
      </w:pPr>
    </w:p>
    <w:p>
      <w:pPr>
        <w:pStyle w:val="Heading2"/>
        <w:spacing w:after="150" w:before="300"/>
      </w:pPr>
      <w:r>
        <w:rPr>
          <w:b/>
          <w:bCs/>
          <w:color w:val="1F3864"/>
        </w:rPr>
        <w:t xml:space="preserve">2. Giai đoạn 2: Thiết kế các quy trình nghiệp vụ chính</w:t>
      </w:r>
    </w:p>
    <w:p>
      <w:pPr>
        <w:spacing w:after="120"/>
      </w:pPr>
      <w:r>
        <w:t xml:space="preserve">Tám quy trình nghiệp vụ cốt lõi cần được chuẩn hóa và thống nhất với các đơn vị liên quan trước khi đưa vào thiết kế hệ thống:</w:t>
      </w:r>
    </w:p>
    <w:p>
      <w:pPr>
        <w:pStyle w:val="Heading3"/>
        <w:spacing w:after="100" w:before="200"/>
      </w:pPr>
      <w:r>
        <w:rPr>
          <w:b/>
          <w:bCs/>
          <w:color w:val="2E74B5"/>
        </w:rPr>
        <w:t xml:space="preserve">2.1. Quy trình xây dựng và phê duyệt chương trình bồi dưỡng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610"/>
        <w:gridCol w:w="2350"/>
        <w:gridCol w:w="2346"/>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Bước</w:t>
            </w:r>
          </w:p>
        </w:tc>
        <w:tc>
          <w:tcPr>
            <w:tcW w:type="dxa" w:w="3610"/>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Người/đơn vị thực hiện</w:t>
            </w:r>
          </w:p>
        </w:tc>
        <w:tc>
          <w:tcPr>
            <w:tcW w:type="dxa" w:w="2346"/>
            <w:shd w:fill="1F3864" w:val="clear"/>
            <w:tcMar>
              <w:top w:type="dxa" w:w="80"/>
              <w:left w:type="dxa" w:w="100"/>
              <w:bottom w:type="dxa" w:w="80"/>
              <w:right w:type="dxa" w:w="100"/>
            </w:tcMar>
            <w:vAlign w:val="center"/>
          </w:tcPr>
          <w:p>
            <w:pPr>
              <w:jc w:val="center"/>
            </w:pPr>
            <w:r>
              <w:rPr>
                <w:b/>
                <w:bCs/>
                <w:color w:val="FFFFFF"/>
                <w:sz w:val="20"/>
                <w:szCs w:val="20"/>
              </w:rPr>
              <w:t xml:space="preserve">Kết quả/Đầu ra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Đề xuất mở chương trình bồi dưỡng mới căn cứ nhu cầu thực tế và quy định hiện hành</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Phòng/Trung tâm bồi dưỡng</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Đề xuất chương trình</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Xây dựng nội dung: mục tiêu, đối tượng, thời lượng, học phần/chuyên đề, giảng viên dự kiến</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Tổ chuyên môn/giảng viên biên soạn</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Dự thảo chương trình</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Thẩm định nội dung chương trình</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Hội đồng khoa học/chuyên môn</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Biên bản thẩm định</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Phê duyệt và ban hành chương trình</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Ban giám hiệu</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Quyết định ban hành</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Cập nhật chương trình vào hệ thống (mã chương trình, học phần, thời lượng, đối tượng...)</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Chương trình được lưu trên hệ thống</w:t>
            </w:r>
          </w:p>
        </w:tc>
      </w:tr>
    </w:tbl>
    <w:p>
      <w:pPr>
        <w:pStyle w:val="Heading3"/>
        <w:spacing w:after="100" w:before="200"/>
      </w:pPr>
      <w:r>
        <w:rPr>
          <w:b/>
          <w:bCs/>
          <w:color w:val="2E74B5"/>
        </w:rPr>
        <w:t xml:space="preserve">2.2. Quy trình mở khóa bồi dưỡng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610"/>
        <w:gridCol w:w="2350"/>
        <w:gridCol w:w="2346"/>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Bước</w:t>
            </w:r>
          </w:p>
        </w:tc>
        <w:tc>
          <w:tcPr>
            <w:tcW w:type="dxa" w:w="3610"/>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Người/đơn vị thực hiện</w:t>
            </w:r>
          </w:p>
        </w:tc>
        <w:tc>
          <w:tcPr>
            <w:tcW w:type="dxa" w:w="2346"/>
            <w:shd w:fill="1F3864" w:val="clear"/>
            <w:tcMar>
              <w:top w:type="dxa" w:w="80"/>
              <w:left w:type="dxa" w:w="100"/>
              <w:bottom w:type="dxa" w:w="80"/>
              <w:right w:type="dxa" w:w="100"/>
            </w:tcMar>
            <w:vAlign w:val="center"/>
          </w:tcPr>
          <w:p>
            <w:pPr>
              <w:jc w:val="center"/>
            </w:pPr>
            <w:r>
              <w:rPr>
                <w:b/>
                <w:bCs/>
                <w:color w:val="FFFFFF"/>
                <w:sz w:val="20"/>
                <w:szCs w:val="20"/>
              </w:rPr>
              <w:t xml:space="preserve">Kết quả/Đầu ra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Lập kế hoạch mở khóa theo chương trình đã duyệt (thời gian, địa điểm, sĩ số dự kiến, hình thức trực tiếp/trực tuyến, mức học phí)</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Phòng/Trung tâm bồi dưỡng</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Kế hoạch mở khóa</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Phân công giảng viên phụ trách các học phần</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Trưởng đơn vị chuyên môn</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Danh sách giảng viên</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Khởi tạo khóa trên hệ thống: mã khóa, chương trình áp dụng, sĩ số tối đa, thời gian khai giảng, mức học phí</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Khóa học được khởi tạo</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Thông báo tuyển sinh/mở khóa (kèm mức học phí, thời hạn nộp) qua website, văn bản, email; hệ thống sinh kèm đường link đăng ký công khai của khóa để đăng trên website quảng bá crdc.ued.udn.vn</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Phòng/Trung tâm bồi dưỡng</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Thông báo tuyển sinh; link đăng ký công khai của khóa</w:t>
            </w:r>
          </w:p>
        </w:tc>
      </w:tr>
    </w:tbl>
    <w:p>
      <w:pPr>
        <w:pStyle w:val="Heading3"/>
        <w:spacing w:after="100" w:before="200"/>
      </w:pPr>
      <w:r>
        <w:rPr>
          <w:b/>
          <w:bCs/>
          <w:color w:val="2E74B5"/>
        </w:rPr>
        <w:t xml:space="preserve">2.3. Quy trình đăng ký và xét duyệt học viên</w:t>
      </w:r>
    </w:p>
    <w:p>
      <w:pPr>
        <w:spacing w:after="120"/>
      </w:pPr>
      <w:r>
        <w:t xml:space="preserve">Mỗi chương trình bồi dưỡng được gắn với đúng 1 trong 4 phương thức đăng ký dưới đây ngay từ bước xây dựng chương trình (2.1); mọi khóa mở theo chương trình đó sẽ kế thừa phương thức đã chọn.</w:t>
      </w:r>
    </w:p>
    <w:p>
      <w:pPr>
        <w:spacing w:after="160"/>
      </w:pPr>
      <w:r>
        <w:rPr>
          <w:i/>
          <w:iCs/>
          <w:color w:val="595959"/>
          <w:sz w:val="20"/>
          <w:szCs w:val="20"/>
        </w:rPr>
        <w:t xml:space="preserve">Phương thức 1 — Đăng ký trực tuyến kèm nộp bản giấy: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610"/>
        <w:gridCol w:w="2350"/>
        <w:gridCol w:w="2346"/>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Bước</w:t>
            </w:r>
          </w:p>
        </w:tc>
        <w:tc>
          <w:tcPr>
            <w:tcW w:type="dxa" w:w="3610"/>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Người/đơn vị thực hiện</w:t>
            </w:r>
          </w:p>
        </w:tc>
        <w:tc>
          <w:tcPr>
            <w:tcW w:type="dxa" w:w="2346"/>
            <w:shd w:fill="1F3864" w:val="clear"/>
            <w:tcMar>
              <w:top w:type="dxa" w:w="80"/>
              <w:left w:type="dxa" w:w="100"/>
              <w:bottom w:type="dxa" w:w="80"/>
              <w:right w:type="dxa" w:w="100"/>
            </w:tcMar>
            <w:vAlign w:val="center"/>
          </w:tcPr>
          <w:p>
            <w:pPr>
              <w:jc w:val="center"/>
            </w:pPr>
            <w:r>
              <w:rPr>
                <w:b/>
                <w:bCs/>
                <w:color w:val="FFFFFF"/>
                <w:sz w:val="20"/>
                <w:szCs w:val="20"/>
              </w:rPr>
              <w:t xml:space="preserve">Kết quả/Đầu ra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Học viên đăng ký khóa học trên hệ thống, sau đó hệ thống xuất/in đơn đăng ký để học viên nộp bản giấy về trường</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Học viên</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Hồ sơ đăng ký điện tử + đơn giấy đã in</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 xác nhận đã nhận hồ sơ giấy, đối chiếu với hồ sơ điện tử</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Trạng thái hồ sơ: đã nhận bản giấy</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Kiểm tra điều kiện, tính hợp lệ của hồ sơ (đối tượng, bằng cấp, chứng chỉ tiên quyết nếu có)</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Danh sách hợp lệ/không hợp lệ</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Xét duyệt danh sách học viên chính thức, cập nhật vào khóa trên hệ thống, gửi thông báo (kèm mức học phí cần nộp)</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Lãnh đạo đơn vị/Cán bộ quản lý đào tạo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Danh sách học viên chính thức của khóa</w:t>
            </w:r>
          </w:p>
        </w:tc>
      </w:tr>
    </w:tbl>
    <w:p>
      <w:pPr>
        <w:spacing w:after="100"/>
      </w:pPr>
    </w:p>
    <w:p>
      <w:pPr>
        <w:spacing w:after="160"/>
      </w:pPr>
      <w:r>
        <w:rPr>
          <w:i/>
          <w:iCs/>
          <w:color w:val="595959"/>
          <w:sz w:val="20"/>
          <w:szCs w:val="20"/>
        </w:rPr>
        <w:t xml:space="preserve">Phương thức 2 — Nhà trường import danh sách sẵn có, học viên tự xác nhận: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610"/>
        <w:gridCol w:w="2350"/>
        <w:gridCol w:w="2346"/>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Bước</w:t>
            </w:r>
          </w:p>
        </w:tc>
        <w:tc>
          <w:tcPr>
            <w:tcW w:type="dxa" w:w="3610"/>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Người/đơn vị thực hiện</w:t>
            </w:r>
          </w:p>
        </w:tc>
        <w:tc>
          <w:tcPr>
            <w:tcW w:type="dxa" w:w="2346"/>
            <w:shd w:fill="1F3864" w:val="clear"/>
            <w:tcMar>
              <w:top w:type="dxa" w:w="80"/>
              <w:left w:type="dxa" w:w="100"/>
              <w:bottom w:type="dxa" w:w="80"/>
              <w:right w:type="dxa" w:w="100"/>
            </w:tcMar>
            <w:vAlign w:val="center"/>
          </w:tcPr>
          <w:p>
            <w:pPr>
              <w:jc w:val="center"/>
            </w:pPr>
            <w:r>
              <w:rPr>
                <w:b/>
                <w:bCs/>
                <w:color w:val="FFFFFF"/>
                <w:sz w:val="20"/>
                <w:szCs w:val="20"/>
              </w:rPr>
              <w:t xml:space="preserve">Kết quả/Đầu ra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Import danh sách học viên có sẵn từ file (Excel/CSV) vào khóa trên hệ thống</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Danh sách học viên dự kiến của khóa</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Học viên tự đăng nhập hệ thống bằng CCCD, mã số học viên hoặc tài khoản được cấp để xác nhận tham gia khóa</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Học viên</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Trạng thái: đã xác nhận tham gia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 kiểm tra, đối chiếu danh sách đã xác nhận với danh sách import</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Danh sách hợp lệ/chưa xác nhận</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Xét duyệt danh sách học viên chính thức, gửi thông báo (kèm mức học phí cần nộp nếu có)</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Lãnh đạo đơn vị/Cán bộ quản lý đào tạo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Danh sách học viên chính thức của khóa</w:t>
            </w:r>
          </w:p>
        </w:tc>
      </w:tr>
    </w:tbl>
    <w:p>
      <w:pPr>
        <w:spacing w:after="100"/>
      </w:pPr>
    </w:p>
    <w:p>
      <w:pPr>
        <w:spacing w:after="160"/>
      </w:pPr>
      <w:r>
        <w:rPr>
          <w:i/>
          <w:iCs/>
          <w:color w:val="595959"/>
          <w:sz w:val="20"/>
          <w:szCs w:val="20"/>
        </w:rPr>
        <w:t xml:space="preserve">Phương thức 3 — Chỉ đăng ký dự thi, không qua giai đoạn học:</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610"/>
        <w:gridCol w:w="2350"/>
        <w:gridCol w:w="2346"/>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Bước</w:t>
            </w:r>
          </w:p>
        </w:tc>
        <w:tc>
          <w:tcPr>
            <w:tcW w:type="dxa" w:w="3610"/>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Người/đơn vị thực hiện</w:t>
            </w:r>
          </w:p>
        </w:tc>
        <w:tc>
          <w:tcPr>
            <w:tcW w:type="dxa" w:w="2346"/>
            <w:shd w:fill="1F3864" w:val="clear"/>
            <w:tcMar>
              <w:top w:type="dxa" w:w="80"/>
              <w:left w:type="dxa" w:w="100"/>
              <w:bottom w:type="dxa" w:w="80"/>
              <w:right w:type="dxa" w:w="100"/>
            </w:tcMar>
            <w:vAlign w:val="center"/>
          </w:tcPr>
          <w:p>
            <w:pPr>
              <w:jc w:val="center"/>
            </w:pPr>
            <w:r>
              <w:rPr>
                <w:b/>
                <w:bCs/>
                <w:color w:val="FFFFFF"/>
                <w:sz w:val="20"/>
                <w:szCs w:val="20"/>
              </w:rPr>
              <w:t xml:space="preserve">Kết quả/Đầu ra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Học viên đăng ký dự thi trên hệ thống (không đăng ký học phần/buổi học)</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Học viên</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Hồ sơ đăng ký dự thi</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Kiểm tra điều kiện dự thi, xét duyệt danh sách thí sinh chính thức</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Danh sách thí sinh dự thi</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Tổ chức thi, chấm thi và nhập kết quả thi trực tiếp vào hệ thống</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tạo/Hội đồng thi</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Bảng kết quả thi</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Xuất kết quả làm căn cứ xét cấp chứng chỉ cho thí sinh đạt yêu cầu</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Danh sách đủ điều kiện cấp chứng chỉ</w:t>
            </w:r>
          </w:p>
        </w:tc>
      </w:tr>
    </w:tbl>
    <w:p>
      <w:pPr>
        <w:spacing w:after="160"/>
      </w:pPr>
      <w:r>
        <w:rPr>
          <w:i/>
          <w:iCs/>
          <w:color w:val="595959"/>
          <w:sz w:val="20"/>
          <w:szCs w:val="20"/>
        </w:rPr>
        <w:t xml:space="preserve">Phương thức 4 — Tuyển sinh qua đơn vị liên kết:</w:t>
      </w:r>
    </w:p>
    <w:p>
      <w:pPr>
        <w:spacing w:after="120"/>
      </w:pPr>
      <w:r>
        <w:t xml:space="preserve">Nhà trường liên kết với nhiều đơn vị bên ngoài để tuyển sinh; mỗi đơn vị liên kết được cấp 1 tài khoản đăng nhập hệ thống, chỉ thao tác được trên các khóa mà đơn vị mình được phân công. Phương thức này gồm 2 hình thức đăng ký, đơn vị liên kết có thể áp dụng đồng thời cả hai:</w:t>
      </w:r>
    </w:p>
    <w:p>
      <w:pPr>
        <w:pStyle w:val="ListParagraph"/>
        <w:numPr>
          <w:ilvl w:val="0"/>
          <w:numId w:val="2"/>
        </w:numPr>
        <w:spacing w:after="60"/>
      </w:pPr>
      <w:r>
        <w:t xml:space="preserve">Hình thức 4a: cán bộ đơn vị liên kết dùng tài khoản được cấp đăng ký học viên vào khóa, hệ thống in đơn đăng ký để học viên ký và nộp về chính đơn vị liên kết.</w:t>
      </w:r>
    </w:p>
    <w:p>
      <w:pPr>
        <w:pStyle w:val="ListParagraph"/>
        <w:numPr>
          <w:ilvl w:val="0"/>
          <w:numId w:val="2"/>
        </w:numPr>
        <w:spacing w:after="60"/>
      </w:pPr>
      <w:r>
        <w:t xml:space="preserve">Hình thức 4b: học viên tự đăng ký trực tuyến (như Phương thức 1) nhưng chọn đơn vị liên kết mà mình sẽ nộp bản giấy; đơn đăng ký in ra có thêm mục "Đơn vị liên kết thu hồ sơ" tương ứng.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610"/>
        <w:gridCol w:w="2350"/>
        <w:gridCol w:w="2346"/>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Bước</w:t>
            </w:r>
          </w:p>
        </w:tc>
        <w:tc>
          <w:tcPr>
            <w:tcW w:type="dxa" w:w="3610"/>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Người/đơn vị thực hiện</w:t>
            </w:r>
          </w:p>
        </w:tc>
        <w:tc>
          <w:tcPr>
            <w:tcW w:type="dxa" w:w="2346"/>
            <w:shd w:fill="1F3864" w:val="clear"/>
            <w:tcMar>
              <w:top w:type="dxa" w:w="80"/>
              <w:left w:type="dxa" w:w="100"/>
              <w:bottom w:type="dxa" w:w="80"/>
              <w:right w:type="dxa" w:w="100"/>
            </w:tcMar>
            <w:vAlign w:val="center"/>
          </w:tcPr>
          <w:p>
            <w:pPr>
              <w:jc w:val="center"/>
            </w:pPr>
            <w:r>
              <w:rPr>
                <w:b/>
                <w:bCs/>
                <w:color w:val="FFFFFF"/>
                <w:sz w:val="20"/>
                <w:szCs w:val="20"/>
              </w:rPr>
              <w:t xml:space="preserve">Kết quả/Đầu ra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Ký thỏa thuận/hợp đồng liên kết tuyển sinh cho khóa cụ thể (số lượng dự kiến, đơn giá học phí thỏa thuận)</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Phòng/Trung tâm bồi dưỡng và Đơn vị liên kết</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Hợp đồng liên kết ở trạng thái "Đang triển khai"</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Đăng ký học viên theo hình thức 4a hoặc 4b; đơn vị liên kết thu bản giấy đã ký, tổng hợp gửi về trường theo lô</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đơn vị liên kết/Học viên</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Hồ sơ đăng ký gắn với hợp đồng liên kết</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Kiểm tra hồ sơ, xét duyệt danh sách chính thức (áp dụng chung quy trình như các phương thức khác)</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tạo/Lãnh đạo đơn vị</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Danh sách học viên chính thức của khóa</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Trong suốt khóa học, không thu/xác nhận học phí theo từng học viên; công nợ được theo dõi theo toàn bộ hợp đồng liên kết</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tài chính</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Trạng thái học phí của nhóm học viên: "Chờ thanh lý hợp đồng"</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Kết thúc khóa, đối chiếu số học viên hoàn thành/thôi học thực tế với hợp đồng, lập biên bản thanh lý và ghi nhận số tiền quyết toán</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tài chính</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Biên bản thanh lý hợp đồng</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6</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Cập nhật hàng loạt trạng thái tài chính "Đã hoàn tất" cho toàn bộ học viên hợp lệ của hợp đồng đã thanh lý, làm căn cứ xét cấp chứng chỉ; chứng chỉ được bàn giao theo lô về đơn vị liên kết để phát lại cho học viên</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tài chính/Cán bộ quản lý đào tạo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Trạng thái tài chính học viên cập nhật; chứng chỉ bàn giao qua đơn vị liên kết</w:t>
            </w:r>
          </w:p>
        </w:tc>
      </w:tr>
    </w:tbl>
    <w:p>
      <w:pPr>
        <w:spacing w:after="150"/>
      </w:pPr>
    </w:p>
    <w:p>
      <w:pPr>
        <w:pStyle w:val="Heading3"/>
        <w:spacing w:after="100" w:before="200"/>
      </w:pPr>
      <w:r>
        <w:rPr>
          <w:b/>
          <w:bCs/>
          <w:color w:val="2E74B5"/>
        </w:rPr>
        <w:t xml:space="preserve">2.4. Quy trình thu học phí</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610"/>
        <w:gridCol w:w="2350"/>
        <w:gridCol w:w="2346"/>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Bước</w:t>
            </w:r>
          </w:p>
        </w:tc>
        <w:tc>
          <w:tcPr>
            <w:tcW w:type="dxa" w:w="3610"/>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Người/đơn vị thực hiện</w:t>
            </w:r>
          </w:p>
        </w:tc>
        <w:tc>
          <w:tcPr>
            <w:tcW w:type="dxa" w:w="2346"/>
            <w:shd w:fill="1F3864" w:val="clear"/>
            <w:tcMar>
              <w:top w:type="dxa" w:w="80"/>
              <w:left w:type="dxa" w:w="100"/>
              <w:bottom w:type="dxa" w:w="80"/>
              <w:right w:type="dxa" w:w="100"/>
            </w:tcMar>
            <w:vAlign w:val="center"/>
          </w:tcPr>
          <w:p>
            <w:pPr>
              <w:jc w:val="center"/>
            </w:pPr>
            <w:r>
              <w:rPr>
                <w:b/>
                <w:bCs/>
                <w:color w:val="FFFFFF"/>
                <w:sz w:val="20"/>
                <w:szCs w:val="20"/>
              </w:rPr>
              <w:t xml:space="preserve">Kết quả/Đầu ra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Thông báo mức học phí và thời hạn nộp cho học viên (kèm thông báo trúng tuyển)</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Phòng/Trung tâm bồi dưỡng</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Thông báo học phí</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Học viên nộp học phí (chuyển khoản, tiền mặt hoặc qua cổng thanh toán trực tuyến)</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Học viên</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Chứng từ/biên lai nộp tiền</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Kiểm tra, đối chiếu học viên đã nộp học phí; cập nhật trạng thái thanh toán trên hệ thống</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tài chính</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Danh sách học viên đã nộp/còn nợ học phí</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Xác nhận hoàn tất nghĩa vụ học phí làm căn cứ công nhận kết quả và cấp chứng chỉ</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tài chính phối hợp Cán bộ quản lý đào tạo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Xác nhận đủ điều kiện tài chính</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Lập phiếu thu, báo cáo doanh thu và công nợ học phí theo từng khóa/đợt</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tài chính</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Báo cáo thu học phí</w:t>
            </w:r>
          </w:p>
        </w:tc>
      </w:tr>
    </w:tbl>
    <w:p>
      <w:pPr>
        <w:pStyle w:val="Heading3"/>
        <w:spacing w:after="100" w:before="200"/>
      </w:pPr>
      <w:r>
        <w:rPr>
          <w:b/>
          <w:bCs/>
          <w:color w:val="2E74B5"/>
        </w:rPr>
        <w:t xml:space="preserve">2.5. Quy trình tổ chức giảng dạy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610"/>
        <w:gridCol w:w="2350"/>
        <w:gridCol w:w="2346"/>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Bước</w:t>
            </w:r>
          </w:p>
        </w:tc>
        <w:tc>
          <w:tcPr>
            <w:tcW w:type="dxa" w:w="3610"/>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Người/đơn vị thực hiện</w:t>
            </w:r>
          </w:p>
        </w:tc>
        <w:tc>
          <w:tcPr>
            <w:tcW w:type="dxa" w:w="2346"/>
            <w:shd w:fill="1F3864" w:val="clear"/>
            <w:tcMar>
              <w:top w:type="dxa" w:w="80"/>
              <w:left w:type="dxa" w:w="100"/>
              <w:bottom w:type="dxa" w:w="80"/>
              <w:right w:type="dxa" w:w="100"/>
            </w:tcMar>
            <w:vAlign w:val="center"/>
          </w:tcPr>
          <w:p>
            <w:pPr>
              <w:jc w:val="center"/>
            </w:pPr>
            <w:r>
              <w:rPr>
                <w:b/>
                <w:bCs/>
                <w:color w:val="FFFFFF"/>
                <w:sz w:val="20"/>
                <w:szCs w:val="20"/>
              </w:rPr>
              <w:t xml:space="preserve">Kết quả/Đầu ra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Xây dựng thời khóa biểu, lịch giảng dạy chi tiết theo học phần</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Thời khóa biểu</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Chuẩn bị hình thức giảng dạy theo từng khóa/buổi học:</w:t>
              <w:br/>
              <w:t xml:space="preserve">– Khóa dạy trực tiếp: bố trí phòng học, địa điểm giảng dạy.</w:t>
              <w:br/>
              <w:t xml:space="preserve">– Khóa dạy trực tuyến: hệ thống liên kết (tích hợp API) với Zoom hoặc Microsoft Teams để tự động tạo link phòng học và gửi cho giảng viên, học viên.</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Địa điểm học (trực tiếp) hoặc link phòng học trực tuyến (Zoom/MS Teams)</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Giảng dạy theo lịch, điểm danh học viên từng buổi</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Giảng viên</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Bảng điểm danh</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Theo dõi tiến độ, xử lý phát sinh (nghỉ học, đổi lịch, học bù)</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Nhật ký khóa học</w:t>
            </w:r>
          </w:p>
        </w:tc>
      </w:tr>
    </w:tbl>
    <w:p>
      <w:pPr>
        <w:pStyle w:val="Heading3"/>
        <w:spacing w:after="100" w:before="200"/>
      </w:pPr>
      <w:r>
        <w:rPr>
          <w:b/>
          <w:bCs/>
          <w:color w:val="2E74B5"/>
        </w:rPr>
        <w:t xml:space="preserve">2.6. Quy trình đánh giá kết quả học tập</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610"/>
        <w:gridCol w:w="2350"/>
        <w:gridCol w:w="2346"/>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Bước</w:t>
            </w:r>
          </w:p>
        </w:tc>
        <w:tc>
          <w:tcPr>
            <w:tcW w:type="dxa" w:w="3610"/>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Người/đơn vị thực hiện</w:t>
            </w:r>
          </w:p>
        </w:tc>
        <w:tc>
          <w:tcPr>
            <w:tcW w:type="dxa" w:w="2346"/>
            <w:shd w:fill="1F3864" w:val="clear"/>
            <w:tcMar>
              <w:top w:type="dxa" w:w="80"/>
              <w:left w:type="dxa" w:w="100"/>
              <w:bottom w:type="dxa" w:w="80"/>
              <w:right w:type="dxa" w:w="100"/>
            </w:tcMar>
            <w:vAlign w:val="center"/>
          </w:tcPr>
          <w:p>
            <w:pPr>
              <w:jc w:val="center"/>
            </w:pPr>
            <w:r>
              <w:rPr>
                <w:b/>
                <w:bCs/>
                <w:color w:val="FFFFFF"/>
                <w:sz w:val="20"/>
                <w:szCs w:val="20"/>
              </w:rPr>
              <w:t xml:space="preserve">Kết quả/Đầu ra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Tổ chức kiểm tra/thi kết thúc học phần hoặc toàn khóa</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Giảng viên/Hội đồng thi</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Bài thi/bài kiểm tra</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Chấm điểm, nhập điểm vào hệ thống</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Giảng viên</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Bảng điểm học phần</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Tổng hợp kết quả toàn khóa, xét điều kiện hoàn thành (điểm, chuyên cần)</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Bảng tổng hợp kết quả</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Phê duyệt kết quả cuối cùng</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Hội đồng/Lãnh đạo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Quyết định công nhận kết quả</w:t>
            </w:r>
          </w:p>
        </w:tc>
      </w:tr>
    </w:tbl>
    <w:p>
      <w:pPr>
        <w:pStyle w:val="Heading3"/>
        <w:spacing w:after="100" w:before="200"/>
      </w:pPr>
      <w:r>
        <w:rPr>
          <w:b/>
          <w:bCs/>
          <w:color w:val="2E74B5"/>
        </w:rPr>
        <w:t xml:space="preserve">2.7. Quy trình cấp chứng chỉ/chứng nhận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610"/>
        <w:gridCol w:w="2350"/>
        <w:gridCol w:w="2346"/>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Bước</w:t>
            </w:r>
          </w:p>
        </w:tc>
        <w:tc>
          <w:tcPr>
            <w:tcW w:type="dxa" w:w="3610"/>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Người/đơn vị thực hiện</w:t>
            </w:r>
          </w:p>
        </w:tc>
        <w:tc>
          <w:tcPr>
            <w:tcW w:type="dxa" w:w="2346"/>
            <w:shd w:fill="1F3864" w:val="clear"/>
            <w:tcMar>
              <w:top w:type="dxa" w:w="80"/>
              <w:left w:type="dxa" w:w="100"/>
              <w:bottom w:type="dxa" w:w="80"/>
              <w:right w:type="dxa" w:w="100"/>
            </w:tcMar>
            <w:vAlign w:val="center"/>
          </w:tcPr>
          <w:p>
            <w:pPr>
              <w:jc w:val="center"/>
            </w:pPr>
            <w:r>
              <w:rPr>
                <w:b/>
                <w:bCs/>
                <w:color w:val="FFFFFF"/>
                <w:sz w:val="20"/>
                <w:szCs w:val="20"/>
              </w:rPr>
              <w:t xml:space="preserve">Kết quả/Đầu ra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Lập danh sách học viên đủ điều kiện cấp chứng chỉ</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Danh sách đề nghị cấp chứng chỉ</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Soạn thảo, in ấn chứng chỉ (có thể sinh tự động từ hệ thống, đánh số theo sổ cấp)</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Chứng chỉ/chứng nhận</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Ký duyệt, đóng dấu</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Ban giám hiệu</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Chứng chỉ đã ký duyệt</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Vào sổ cấp chứng chỉ, cập nhật trạng thái trên hệ thống, trả chứng chỉ cho học viên</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Sổ cấp chứng chỉ, hồ sơ lưu</w:t>
            </w:r>
          </w:p>
        </w:tc>
      </w:tr>
    </w:tbl>
    <w:p>
      <w:pPr>
        <w:pStyle w:val="Heading3"/>
        <w:spacing w:after="100" w:before="200"/>
      </w:pPr>
      <w:r>
        <w:rPr>
          <w:b/>
          <w:bCs/>
          <w:color w:val="2E74B5"/>
        </w:rPr>
        <w:t xml:space="preserve">2.8. Quy trình thống kê – báo cáo – lưu trữ hồ sơ</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3610"/>
        <w:gridCol w:w="2350"/>
        <w:gridCol w:w="2346"/>
      </w:tblGrid>
      <w:tr>
        <w:trPr>
          <w:tblHeader/>
        </w:trPr>
        <w:tc>
          <w:tcPr>
            <w:tcW w:type="dxa" w:w="720"/>
            <w:shd w:fill="1F3864" w:val="clear"/>
            <w:tcMar>
              <w:top w:type="dxa" w:w="80"/>
              <w:left w:type="dxa" w:w="100"/>
              <w:bottom w:type="dxa" w:w="80"/>
              <w:right w:type="dxa" w:w="100"/>
            </w:tcMar>
            <w:vAlign w:val="center"/>
          </w:tcPr>
          <w:p>
            <w:pPr>
              <w:jc w:val="center"/>
            </w:pPr>
            <w:r>
              <w:rPr>
                <w:b/>
                <w:bCs/>
                <w:color w:val="FFFFFF"/>
                <w:sz w:val="20"/>
                <w:szCs w:val="20"/>
              </w:rPr>
              <w:t xml:space="preserve">Bước</w:t>
            </w:r>
          </w:p>
        </w:tc>
        <w:tc>
          <w:tcPr>
            <w:tcW w:type="dxa" w:w="3610"/>
            <w:shd w:fill="1F3864" w:val="clear"/>
            <w:tcMar>
              <w:top w:type="dxa" w:w="80"/>
              <w:left w:type="dxa" w:w="100"/>
              <w:bottom w:type="dxa" w:w="80"/>
              <w:right w:type="dxa" w:w="100"/>
            </w:tcMar>
            <w:vAlign w:val="center"/>
          </w:tcPr>
          <w:p>
            <w:pPr>
              <w:jc w:val="center"/>
            </w:pPr>
            <w:r>
              <w:rPr>
                <w:b/>
                <w:bCs/>
                <w:color w:val="FFFFFF"/>
                <w:sz w:val="20"/>
                <w:szCs w:val="20"/>
              </w:rPr>
              <w:t xml:space="preserve">Nội dung công việc</w:t>
            </w:r>
          </w:p>
        </w:tc>
        <w:tc>
          <w:tcPr>
            <w:tcW w:type="dxa" w:w="2350"/>
            <w:shd w:fill="1F3864" w:val="clear"/>
            <w:tcMar>
              <w:top w:type="dxa" w:w="80"/>
              <w:left w:type="dxa" w:w="100"/>
              <w:bottom w:type="dxa" w:w="80"/>
              <w:right w:type="dxa" w:w="100"/>
            </w:tcMar>
            <w:vAlign w:val="center"/>
          </w:tcPr>
          <w:p>
            <w:pPr>
              <w:jc w:val="center"/>
            </w:pPr>
            <w:r>
              <w:rPr>
                <w:b/>
                <w:bCs/>
                <w:color w:val="FFFFFF"/>
                <w:sz w:val="20"/>
                <w:szCs w:val="20"/>
              </w:rPr>
              <w:t xml:space="preserve">Người/đơn vị thực hiện</w:t>
            </w:r>
          </w:p>
        </w:tc>
        <w:tc>
          <w:tcPr>
            <w:tcW w:type="dxa" w:w="2346"/>
            <w:shd w:fill="1F3864" w:val="clear"/>
            <w:tcMar>
              <w:top w:type="dxa" w:w="80"/>
              <w:left w:type="dxa" w:w="100"/>
              <w:bottom w:type="dxa" w:w="80"/>
              <w:right w:type="dxa" w:w="100"/>
            </w:tcMar>
            <w:vAlign w:val="center"/>
          </w:tcPr>
          <w:p>
            <w:pPr>
              <w:jc w:val="center"/>
            </w:pPr>
            <w:r>
              <w:rPr>
                <w:b/>
                <w:bCs/>
                <w:color w:val="FFFFFF"/>
                <w:sz w:val="20"/>
                <w:szCs w:val="20"/>
              </w:rPr>
              <w:t xml:space="preserve">Kết quả/Đầu ra</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Xây dựng dashboard quản lý số liệu thật (thời gian thực): trực quan hóa số khóa đang mở, số học viên, tiến độ giảng dạy, tình hình thu học phí, tỷ lệ hoàn thành... ngay khi dữ liệu được cập nhật trên hệ thống</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Bộ phận IT/Cán bộ quản lý đào tạo</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Dashboard số liệu thời gian thực</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Trích xuất báo cáo định kỳ (số khóa, số học viên, tỷ lệ hoàn thành, tình hình thu học phí...) từ hệ thống</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tạo/Cán bộ tài chính</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Báo cáo định kỳ</w:t>
            </w:r>
          </w:p>
        </w:tc>
      </w:tr>
      <w:tr>
        <w:tc>
          <w:tcPr>
            <w:tcW w:type="dxa" w:w="72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3610"/>
            <w:tcMar>
              <w:top w:type="dxa" w:w="80"/>
              <w:left w:type="dxa" w:w="100"/>
              <w:bottom w:type="dxa" w:w="80"/>
              <w:right w:type="dxa" w:w="100"/>
            </w:tcMar>
            <w:vAlign w:val="center"/>
          </w:tcPr>
          <w:p>
            <w:pPr>
              <w:jc w:val="left"/>
            </w:pPr>
            <w:r>
              <w:rPr>
                <w:b w:val="false"/>
                <w:bCs w:val="false"/>
                <w:color w:val="000000"/>
                <w:sz w:val="20"/>
                <w:szCs w:val="20"/>
              </w:rPr>
              <w:t xml:space="preserve">Tổng hợp, gửi báo cáo Ban giám hiệu, Bộ/Sở Giáo dục và Đào tạo theo yêu cầu</w:t>
            </w:r>
          </w:p>
        </w:tc>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Phòng/Trung tâm bồi dưỡng</w:t>
            </w:r>
          </w:p>
        </w:tc>
        <w:tc>
          <w:tcPr>
            <w:tcW w:type="dxa" w:w="2346"/>
            <w:tcMar>
              <w:top w:type="dxa" w:w="80"/>
              <w:left w:type="dxa" w:w="100"/>
              <w:bottom w:type="dxa" w:w="80"/>
              <w:right w:type="dxa" w:w="100"/>
            </w:tcMar>
            <w:vAlign w:val="center"/>
          </w:tcPr>
          <w:p>
            <w:pPr>
              <w:jc w:val="left"/>
            </w:pPr>
            <w:r>
              <w:rPr>
                <w:b w:val="false"/>
                <w:bCs w:val="false"/>
                <w:color w:val="000000"/>
                <w:sz w:val="20"/>
                <w:szCs w:val="20"/>
              </w:rPr>
              <w:t xml:space="preserve">Báo cáo gửi cấp trên</w:t>
            </w:r>
          </w:p>
        </w:tc>
      </w:tr>
      <w:tr>
        <w:tc>
          <w:tcPr>
            <w:tcW w:type="dxa" w:w="72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361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Lưu trữ hồ sơ điện tử (chương trình, khóa, điểm, chứng chỉ, chứng từ học phí) phục vụ tra cứu, kiểm định, thanh tra</w:t>
            </w:r>
          </w:p>
        </w:tc>
        <w:tc>
          <w:tcPr>
            <w:tcW w:type="dxa" w:w="235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Hệ thống/Cán bộ quản lý</w:t>
            </w:r>
          </w:p>
        </w:tc>
        <w:tc>
          <w:tcPr>
            <w:tcW w:type="dxa" w:w="234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Kho lưu trữ hồ sơ điện tử</w:t>
            </w:r>
          </w:p>
        </w:tc>
      </w:tr>
    </w:tbl>
    <w:p>
      <w:r>
        <w:br w:type="page"/>
      </w:r>
    </w:p>
    <w:p>
      <w:pPr>
        <w:pStyle w:val="Heading2"/>
        <w:spacing w:after="150" w:before="300"/>
      </w:pPr>
      <w:r>
        <w:rPr>
          <w:b/>
          <w:bCs/>
          <w:color w:val="1F3864"/>
        </w:rPr>
        <w:t xml:space="preserve">3. Giai đoạn 3: Thiết kế hệ thống thông tin</w:t>
      </w:r>
    </w:p>
    <w:p>
      <w:pPr>
        <w:pStyle w:val="Heading3"/>
        <w:spacing w:after="100" w:before="200"/>
      </w:pPr>
      <w:r>
        <w:rPr>
          <w:b/>
          <w:bCs/>
          <w:color w:val="2E74B5"/>
        </w:rPr>
        <w:t xml:space="preserve">3.1. Mô hình dữ liệu – các thực thể chính</w:t>
      </w:r>
    </w:p>
    <w:p>
      <w:pPr>
        <w:spacing w:after="120"/>
      </w:pPr>
      <w:r>
        <w:t xml:space="preserve">Đây là danh sách các đối tượng dữ liệu cốt lõi mà hệ thống cần quản lý và mối quan hệ giữa chúng: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4100"/>
        <w:gridCol w:w="3126"/>
      </w:tblGrid>
      <w:tr>
        <w:trPr>
          <w:tblHeader/>
        </w:trPr>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Thực thể</w:t>
            </w:r>
          </w:p>
        </w:tc>
        <w:tc>
          <w:tcPr>
            <w:tcW w:type="dxa" w:w="4100"/>
            <w:shd w:fill="1F3864" w:val="clear"/>
            <w:tcMar>
              <w:top w:type="dxa" w:w="80"/>
              <w:left w:type="dxa" w:w="100"/>
              <w:bottom w:type="dxa" w:w="80"/>
              <w:right w:type="dxa" w:w="100"/>
            </w:tcMar>
            <w:vAlign w:val="center"/>
          </w:tcPr>
          <w:p>
            <w:pPr>
              <w:jc w:val="center"/>
            </w:pPr>
            <w:r>
              <w:rPr>
                <w:b/>
                <w:bCs/>
                <w:color w:val="FFFFFF"/>
                <w:sz w:val="20"/>
                <w:szCs w:val="20"/>
              </w:rPr>
              <w:t xml:space="preserve">Thuộc tính chính</w:t>
            </w:r>
          </w:p>
        </w:tc>
        <w:tc>
          <w:tcPr>
            <w:tcW w:type="dxa" w:w="3126"/>
            <w:shd w:fill="1F3864" w:val="clear"/>
            <w:tcMar>
              <w:top w:type="dxa" w:w="80"/>
              <w:left w:type="dxa" w:w="100"/>
              <w:bottom w:type="dxa" w:w="80"/>
              <w:right w:type="dxa" w:w="100"/>
            </w:tcMar>
            <w:vAlign w:val="center"/>
          </w:tcPr>
          <w:p>
            <w:pPr>
              <w:jc w:val="center"/>
            </w:pPr>
            <w:r>
              <w:rPr>
                <w:b/>
                <w:bCs/>
                <w:color w:val="FFFFFF"/>
                <w:sz w:val="20"/>
                <w:szCs w:val="20"/>
              </w:rPr>
              <w:t xml:space="preserve">Quan hệ chính</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Chương trình bồi dưỡng</w:t>
            </w:r>
          </w:p>
        </w:tc>
        <w:tc>
          <w:tcPr>
            <w:tcW w:type="dxa" w:w="4100"/>
            <w:tcMar>
              <w:top w:type="dxa" w:w="80"/>
              <w:left w:type="dxa" w:w="100"/>
              <w:bottom w:type="dxa" w:w="80"/>
              <w:right w:type="dxa" w:w="100"/>
            </w:tcMar>
            <w:vAlign w:val="center"/>
          </w:tcPr>
          <w:p>
            <w:pPr>
              <w:jc w:val="left"/>
            </w:pPr>
            <w:r>
              <w:rPr>
                <w:b w:val="false"/>
                <w:bCs w:val="false"/>
                <w:color w:val="000000"/>
                <w:sz w:val="20"/>
                <w:szCs w:val="20"/>
              </w:rPr>
              <w:t xml:space="preserve">Mã CT, tên CT, mục tiêu, đối tượng áp dụng, tổng thời lượng, số học phần, trạng thái</w:t>
            </w:r>
          </w:p>
        </w:tc>
        <w:tc>
          <w:tcPr>
            <w:tcW w:type="dxa" w:w="3126"/>
            <w:tcMar>
              <w:top w:type="dxa" w:w="80"/>
              <w:left w:type="dxa" w:w="100"/>
              <w:bottom w:type="dxa" w:w="80"/>
              <w:right w:type="dxa" w:w="100"/>
            </w:tcMar>
            <w:vAlign w:val="center"/>
          </w:tcPr>
          <w:p>
            <w:pPr>
              <w:jc w:val="left"/>
            </w:pPr>
            <w:r>
              <w:rPr>
                <w:b w:val="false"/>
                <w:bCs w:val="false"/>
                <w:color w:val="000000"/>
                <w:sz w:val="20"/>
                <w:szCs w:val="20"/>
              </w:rPr>
              <w:t xml:space="preserve">1 chương trình có nhiều học phần và nhiều khóa</w:t>
            </w:r>
          </w:p>
        </w:tc>
      </w:tr>
      <w:tr>
        <w:tc>
          <w:tcPr>
            <w:tcW w:type="dxa" w:w="18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Học phần/Chuyên đề</w:t>
            </w:r>
          </w:p>
        </w:tc>
        <w:tc>
          <w:tcPr>
            <w:tcW w:type="dxa" w:w="41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Mã học phần, tên, số tiết, giảng viên phụ trách</w:t>
            </w:r>
          </w:p>
        </w:tc>
        <w:tc>
          <w:tcPr>
            <w:tcW w:type="dxa" w:w="31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Thuộc 1 chương trình; có nhiều buổi học</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Khóa bồi dưỡng</w:t>
            </w:r>
          </w:p>
        </w:tc>
        <w:tc>
          <w:tcPr>
            <w:tcW w:type="dxa" w:w="4100"/>
            <w:tcMar>
              <w:top w:type="dxa" w:w="80"/>
              <w:left w:type="dxa" w:w="100"/>
              <w:bottom w:type="dxa" w:w="80"/>
              <w:right w:type="dxa" w:w="100"/>
            </w:tcMar>
            <w:vAlign w:val="center"/>
          </w:tcPr>
          <w:p>
            <w:pPr>
              <w:jc w:val="left"/>
            </w:pPr>
            <w:r>
              <w:rPr>
                <w:b w:val="false"/>
                <w:bCs w:val="false"/>
                <w:color w:val="000000"/>
                <w:sz w:val="20"/>
                <w:szCs w:val="20"/>
              </w:rPr>
              <w:t xml:space="preserve">Mã khóa, chương trình áp dụng, đợt, thời gian khai giảng – bế giảng, sĩ số, hình thức học (trực tiếp/trực tuyến), địa điểm giảng dạy hoặc link Zoom/MS Teams, mức học phí, trạng thái</w:t>
            </w:r>
          </w:p>
        </w:tc>
        <w:tc>
          <w:tcPr>
            <w:tcW w:type="dxa" w:w="3126"/>
            <w:tcMar>
              <w:top w:type="dxa" w:w="80"/>
              <w:left w:type="dxa" w:w="100"/>
              <w:bottom w:type="dxa" w:w="80"/>
              <w:right w:type="dxa" w:w="100"/>
            </w:tcMar>
            <w:vAlign w:val="center"/>
          </w:tcPr>
          <w:p>
            <w:pPr>
              <w:jc w:val="left"/>
            </w:pPr>
            <w:r>
              <w:rPr>
                <w:b w:val="false"/>
                <w:bCs w:val="false"/>
                <w:color w:val="000000"/>
                <w:sz w:val="20"/>
                <w:szCs w:val="20"/>
              </w:rPr>
              <w:t xml:space="preserve">Thuộc 1 chương trình; có nhiều học viên, nhiều buổi học</w:t>
            </w:r>
          </w:p>
        </w:tc>
      </w:tr>
      <w:tr>
        <w:tc>
          <w:tcPr>
            <w:tcW w:type="dxa" w:w="18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Học viên</w:t>
            </w:r>
          </w:p>
        </w:tc>
        <w:tc>
          <w:tcPr>
            <w:tcW w:type="dxa" w:w="41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Mã học viên, họ tên, ngày sinh, đơn vị công tác, số CCCD, thông tin liên hệ</w:t>
            </w:r>
          </w:p>
        </w:tc>
        <w:tc>
          <w:tcPr>
            <w:tcW w:type="dxa" w:w="31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Đăng ký nhiều khóa (qua Đăng ký học)</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Đăng ký học</w:t>
            </w:r>
          </w:p>
        </w:tc>
        <w:tc>
          <w:tcPr>
            <w:tcW w:type="dxa" w:w="4100"/>
            <w:tcMar>
              <w:top w:type="dxa" w:w="80"/>
              <w:left w:type="dxa" w:w="100"/>
              <w:bottom w:type="dxa" w:w="80"/>
              <w:right w:type="dxa" w:w="100"/>
            </w:tcMar>
            <w:vAlign w:val="center"/>
          </w:tcPr>
          <w:p>
            <w:pPr>
              <w:jc w:val="left"/>
            </w:pPr>
            <w:r>
              <w:rPr>
                <w:b w:val="false"/>
                <w:bCs w:val="false"/>
                <w:color w:val="000000"/>
                <w:sz w:val="20"/>
                <w:szCs w:val="20"/>
              </w:rPr>
              <w:t xml:space="preserve">Mã đăng ký, học viên, khóa, ngày đăng ký, trạng thái (chờ duyệt/trúng tuyển/hoàn thành/thôi học)</w:t>
            </w:r>
          </w:p>
        </w:tc>
        <w:tc>
          <w:tcPr>
            <w:tcW w:type="dxa" w:w="3126"/>
            <w:tcMar>
              <w:top w:type="dxa" w:w="80"/>
              <w:left w:type="dxa" w:w="100"/>
              <w:bottom w:type="dxa" w:w="80"/>
              <w:right w:type="dxa" w:w="100"/>
            </w:tcMar>
            <w:vAlign w:val="center"/>
          </w:tcPr>
          <w:p>
            <w:pPr>
              <w:jc w:val="left"/>
            </w:pPr>
            <w:r>
              <w:rPr>
                <w:b w:val="false"/>
                <w:bCs w:val="false"/>
                <w:color w:val="000000"/>
                <w:sz w:val="20"/>
                <w:szCs w:val="20"/>
              </w:rPr>
              <w:t xml:space="preserve">Liên kết Học viên – Khóa</w:t>
            </w:r>
          </w:p>
        </w:tc>
      </w:tr>
      <w:tr>
        <w:tc>
          <w:tcPr>
            <w:tcW w:type="dxa" w:w="18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Giảng viên</w:t>
            </w:r>
          </w:p>
        </w:tc>
        <w:tc>
          <w:tcPr>
            <w:tcW w:type="dxa" w:w="41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Mã giảng viên, họ tên, đơn vị, chuyên môn, học hàm/học vị</w:t>
            </w:r>
          </w:p>
        </w:tc>
        <w:tc>
          <w:tcPr>
            <w:tcW w:type="dxa" w:w="31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Phụ trách nhiều học phần/khóa</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Điểm danh</w:t>
            </w:r>
          </w:p>
        </w:tc>
        <w:tc>
          <w:tcPr>
            <w:tcW w:type="dxa" w:w="4100"/>
            <w:tcMar>
              <w:top w:type="dxa" w:w="80"/>
              <w:left w:type="dxa" w:w="100"/>
              <w:bottom w:type="dxa" w:w="80"/>
              <w:right w:type="dxa" w:w="100"/>
            </w:tcMar>
            <w:vAlign w:val="center"/>
          </w:tcPr>
          <w:p>
            <w:pPr>
              <w:jc w:val="left"/>
            </w:pPr>
            <w:r>
              <w:rPr>
                <w:b w:val="false"/>
                <w:bCs w:val="false"/>
                <w:color w:val="000000"/>
                <w:sz w:val="20"/>
                <w:szCs w:val="20"/>
              </w:rPr>
              <w:t xml:space="preserve">Khóa, buổi học, học viên, trạng thái có mặt</w:t>
            </w:r>
          </w:p>
        </w:tc>
        <w:tc>
          <w:tcPr>
            <w:tcW w:type="dxa" w:w="3126"/>
            <w:tcMar>
              <w:top w:type="dxa" w:w="80"/>
              <w:left w:type="dxa" w:w="100"/>
              <w:bottom w:type="dxa" w:w="80"/>
              <w:right w:type="dxa" w:w="100"/>
            </w:tcMar>
            <w:vAlign w:val="center"/>
          </w:tcPr>
          <w:p>
            <w:pPr>
              <w:jc w:val="left"/>
            </w:pPr>
            <w:r>
              <w:rPr>
                <w:b w:val="false"/>
                <w:bCs w:val="false"/>
                <w:color w:val="000000"/>
                <w:sz w:val="20"/>
                <w:szCs w:val="20"/>
              </w:rPr>
              <w:t xml:space="preserve">Thuộc 1 buổi học của 1 khóa</w:t>
            </w:r>
          </w:p>
        </w:tc>
      </w:tr>
      <w:tr>
        <w:tc>
          <w:tcPr>
            <w:tcW w:type="dxa" w:w="18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Kết quả học tập</w:t>
            </w:r>
          </w:p>
        </w:tc>
        <w:tc>
          <w:tcPr>
            <w:tcW w:type="dxa" w:w="41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Học viên, khóa, học phần, điểm thành phần, điểm kết thúc, kết quả đạt/không đạt</w:t>
            </w:r>
          </w:p>
        </w:tc>
        <w:tc>
          <w:tcPr>
            <w:tcW w:type="dxa" w:w="31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Thuộc Học viên – Khóa – Học phần</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Học phí/Thanh toán</w:t>
            </w:r>
          </w:p>
        </w:tc>
        <w:tc>
          <w:tcPr>
            <w:tcW w:type="dxa" w:w="4100"/>
            <w:tcMar>
              <w:top w:type="dxa" w:w="80"/>
              <w:left w:type="dxa" w:w="100"/>
              <w:bottom w:type="dxa" w:w="80"/>
              <w:right w:type="dxa" w:w="100"/>
            </w:tcMar>
            <w:vAlign w:val="center"/>
          </w:tcPr>
          <w:p>
            <w:pPr>
              <w:jc w:val="left"/>
            </w:pPr>
            <w:r>
              <w:rPr>
                <w:b w:val="false"/>
                <w:bCs w:val="false"/>
                <w:color w:val="000000"/>
                <w:sz w:val="20"/>
                <w:szCs w:val="20"/>
              </w:rPr>
              <w:t xml:space="preserve">Học viên, khóa, số tiền phải nộp, số tiền đã nộp, ngày nộp, hình thức nộp, trạng thái (đã nộp đủ/còn nợ/miễn giảm/chờ thanh lý hợp đồng), người xác nhận</w:t>
            </w:r>
          </w:p>
        </w:tc>
        <w:tc>
          <w:tcPr>
            <w:tcW w:type="dxa" w:w="3126"/>
            <w:tcMar>
              <w:top w:type="dxa" w:w="80"/>
              <w:left w:type="dxa" w:w="100"/>
              <w:bottom w:type="dxa" w:w="80"/>
              <w:right w:type="dxa" w:w="100"/>
            </w:tcMar>
            <w:vAlign w:val="center"/>
          </w:tcPr>
          <w:p>
            <w:pPr>
              <w:jc w:val="left"/>
            </w:pPr>
            <w:r>
              <w:rPr>
                <w:b w:val="false"/>
                <w:bCs w:val="false"/>
                <w:color w:val="000000"/>
                <w:sz w:val="20"/>
                <w:szCs w:val="20"/>
              </w:rPr>
              <w:t xml:space="preserve">Thuộc Học viên – Khóa; do Cán bộ tài chính xác nhận, hoặc theo Hợp đồng liên kết tuyển sinh nếu học viên qua đơn vị liên kết</w:t>
            </w:r>
          </w:p>
        </w:tc>
      </w:tr>
      <w:tr>
        <w:tc>
          <w:tcPr>
            <w:tcW w:type="dxa" w:w="18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Chứng chỉ/Chứng nhận</w:t>
            </w:r>
          </w:p>
        </w:tc>
        <w:tc>
          <w:tcPr>
            <w:tcW w:type="dxa" w:w="41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Số hiệu chứng chỉ, học viên, khóa, ngày cấp, người ký, số vào sổ, kênh nhận (trực tiếp/qua đơn vị liên kết)</w:t>
            </w:r>
          </w:p>
        </w:tc>
        <w:tc>
          <w:tcPr>
            <w:tcW w:type="dxa" w:w="31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Cấp cho học viên đã hoàn thành 1 khóa và đã hoàn tất nghĩa vụ tài chính</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Đơn vị liên kết</w:t>
            </w:r>
          </w:p>
        </w:tc>
        <w:tc>
          <w:tcPr>
            <w:tcW w:type="dxa" w:w="4100"/>
            <w:tcMar>
              <w:top w:type="dxa" w:w="80"/>
              <w:left w:type="dxa" w:w="100"/>
              <w:bottom w:type="dxa" w:w="80"/>
              <w:right w:type="dxa" w:w="100"/>
            </w:tcMar>
            <w:vAlign w:val="center"/>
          </w:tcPr>
          <w:p>
            <w:pPr>
              <w:jc w:val="left"/>
            </w:pPr>
            <w:r>
              <w:rPr>
                <w:b w:val="false"/>
                <w:bCs w:val="false"/>
                <w:color w:val="000000"/>
                <w:sz w:val="20"/>
                <w:szCs w:val="20"/>
              </w:rPr>
              <w:t xml:space="preserve">Mã ĐVLK, tên, địa chỉ, người đại diện, thông tin liên hệ, trạng thái hợp tác, tài khoản đăng nhập</w:t>
            </w:r>
          </w:p>
        </w:tc>
        <w:tc>
          <w:tcPr>
            <w:tcW w:type="dxa" w:w="3126"/>
            <w:tcMar>
              <w:top w:type="dxa" w:w="80"/>
              <w:left w:type="dxa" w:w="100"/>
              <w:bottom w:type="dxa" w:w="80"/>
              <w:right w:type="dxa" w:w="100"/>
            </w:tcMar>
            <w:vAlign w:val="center"/>
          </w:tcPr>
          <w:p>
            <w:pPr>
              <w:jc w:val="left"/>
            </w:pPr>
            <w:r>
              <w:rPr>
                <w:b w:val="false"/>
                <w:bCs w:val="false"/>
                <w:color w:val="000000"/>
                <w:sz w:val="20"/>
                <w:szCs w:val="20"/>
              </w:rPr>
              <w:t xml:space="preserve">Ký nhiều Hợp đồng liên kết tuyển sinh với các khóa</w:t>
            </w:r>
          </w:p>
        </w:tc>
      </w:tr>
      <w:tr>
        <w:tc>
          <w:tcPr>
            <w:tcW w:type="dxa" w:w="18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Hợp đồng liên kết tuyển sinh</w:t>
            </w:r>
          </w:p>
        </w:tc>
        <w:tc>
          <w:tcPr>
            <w:tcW w:type="dxa" w:w="41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Mã hợp đồng, đơn vị liên kết, khóa, số lượng học viên dự kiến/thực tế, đơn giá thỏa thuận, trạng thái (đang triển khai/đã thanh lý), ngày và số tiền quyết toán</w:t>
            </w:r>
          </w:p>
        </w:tc>
        <w:tc>
          <w:tcPr>
            <w:tcW w:type="dxa" w:w="31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Liên kết Đơn vị liên kết – Khóa; mỗi học viên qua đơn vị liên kết gắn với đúng 1 hợp đồng</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Người dùng &amp; Vai trò</w:t>
            </w:r>
          </w:p>
        </w:tc>
        <w:tc>
          <w:tcPr>
            <w:tcW w:type="dxa" w:w="4100"/>
            <w:tcMar>
              <w:top w:type="dxa" w:w="80"/>
              <w:left w:type="dxa" w:w="100"/>
              <w:bottom w:type="dxa" w:w="80"/>
              <w:right w:type="dxa" w:w="100"/>
            </w:tcMar>
            <w:vAlign w:val="center"/>
          </w:tcPr>
          <w:p>
            <w:pPr>
              <w:jc w:val="left"/>
            </w:pPr>
            <w:r>
              <w:rPr>
                <w:b w:val="false"/>
                <w:bCs w:val="false"/>
                <w:color w:val="000000"/>
                <w:sz w:val="20"/>
                <w:szCs w:val="20"/>
              </w:rPr>
              <w:t xml:space="preserve">Tài khoản, họ tên, vai trò, quyền truy cập</w:t>
            </w:r>
          </w:p>
        </w:tc>
        <w:tc>
          <w:tcPr>
            <w:tcW w:type="dxa" w:w="3126"/>
            <w:tcMar>
              <w:top w:type="dxa" w:w="80"/>
              <w:left w:type="dxa" w:w="100"/>
              <w:bottom w:type="dxa" w:w="80"/>
              <w:right w:type="dxa" w:w="100"/>
            </w:tcMar>
            <w:vAlign w:val="center"/>
          </w:tcPr>
          <w:p>
            <w:pPr>
              <w:jc w:val="left"/>
            </w:pPr>
            <w:r>
              <w:rPr>
                <w:b w:val="false"/>
                <w:bCs w:val="false"/>
                <w:color w:val="000000"/>
                <w:sz w:val="20"/>
                <w:szCs w:val="20"/>
              </w:rPr>
              <w:t xml:space="preserve">Gắn với Giảng viên, Học viên, Cán bộ quản lý, Cán bộ tài chính hoặc Cán bộ đơn vị liên kết</w:t>
            </w:r>
          </w:p>
        </w:tc>
      </w:tr>
    </w:tbl>
    <w:p>
      <w:pPr>
        <w:spacing w:after="150"/>
      </w:pPr>
    </w:p>
    <w:p>
      <w:pPr>
        <w:pStyle w:val="Heading3"/>
        <w:spacing w:after="100" w:before="200"/>
      </w:pPr>
      <w:r>
        <w:rPr>
          <w:b/>
          <w:bCs/>
          <w:color w:val="2E74B5"/>
        </w:rPr>
        <w:t xml:space="preserve">3.2. Thiết kế chức năng hệ thống (các module)</w:t>
      </w:r>
    </w:p>
    <w:p>
      <w:pPr>
        <w:spacing w:after="120"/>
      </w:pPr>
      <w:r>
        <w:t xml:space="preserve">Hệ thống được chia thành 11 nhóm chức năng (module) với 69 chức năng chi tiết. Bảng dưới đây tóm tắt chức năng chính và vai trò sử dụng của từng module; đặc tả đầy đủ tới từng chức năng con (mô tả, dữ liệu đầu vào/đầu ra, quy tắc nghiệp vụ, độ ưu tiên, giai đoạn triển khai) được trình bày tại Phụ lục — Bảng phân tích chức năng hệ thống (file Excel kèm theo).</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4200"/>
        <w:gridCol w:w="2426"/>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sz w:val="20"/>
                <w:szCs w:val="20"/>
              </w:rPr>
              <w:t xml:space="preserve">Nhóm chức năng</w:t>
            </w:r>
          </w:p>
        </w:tc>
        <w:tc>
          <w:tcPr>
            <w:tcW w:type="dxa" w:w="4200"/>
            <w:shd w:fill="1F3864" w:val="clear"/>
            <w:tcMar>
              <w:top w:type="dxa" w:w="80"/>
              <w:left w:type="dxa" w:w="100"/>
              <w:bottom w:type="dxa" w:w="80"/>
              <w:right w:type="dxa" w:w="100"/>
            </w:tcMar>
            <w:vAlign w:val="center"/>
          </w:tcPr>
          <w:p>
            <w:pPr>
              <w:jc w:val="center"/>
            </w:pPr>
            <w:r>
              <w:rPr>
                <w:b/>
                <w:bCs/>
                <w:color w:val="FFFFFF"/>
                <w:sz w:val="20"/>
                <w:szCs w:val="20"/>
              </w:rPr>
              <w:t xml:space="preserve">Chức năng chính</w:t>
            </w:r>
          </w:p>
        </w:tc>
        <w:tc>
          <w:tcPr>
            <w:tcW w:type="dxa" w:w="2426"/>
            <w:shd w:fill="1F3864" w:val="clear"/>
            <w:tcMar>
              <w:top w:type="dxa" w:w="80"/>
              <w:left w:type="dxa" w:w="100"/>
              <w:bottom w:type="dxa" w:w="80"/>
              <w:right w:type="dxa" w:w="100"/>
            </w:tcMar>
            <w:vAlign w:val="center"/>
          </w:tcPr>
          <w:p>
            <w:pPr>
              <w:jc w:val="center"/>
            </w:pPr>
            <w:r>
              <w:rPr>
                <w:b/>
                <w:bCs/>
                <w:color w:val="FFFFFF"/>
                <w:sz w:val="20"/>
                <w:szCs w:val="20"/>
              </w:rPr>
              <w:t xml:space="preserve">Vai trò sử dụng chính</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1. Quản trị danh mục dùng chung</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Đơn vị, chức danh/học hàm/học vị, loại hình bồi dưỡng, phòng học, đợt/kỳ tuyển sinh</w:t>
            </w:r>
          </w:p>
        </w:tc>
        <w:tc>
          <w:tcPr>
            <w:tcW w:type="dxa" w:w="2426"/>
            <w:tcMar>
              <w:top w:type="dxa" w:w="80"/>
              <w:left w:type="dxa" w:w="100"/>
              <w:bottom w:type="dxa" w:w="80"/>
              <w:right w:type="dxa" w:w="100"/>
            </w:tcMar>
            <w:vAlign w:val="center"/>
          </w:tcPr>
          <w:p>
            <w:pPr>
              <w:jc w:val="left"/>
            </w:pPr>
            <w:r>
              <w:rPr>
                <w:b w:val="false"/>
                <w:bCs w:val="false"/>
                <w:color w:val="000000"/>
                <w:sz w:val="20"/>
                <w:szCs w:val="20"/>
              </w:rPr>
              <w:t xml:space="preserve">Quản trị hệ thống</w:t>
            </w:r>
          </w:p>
        </w:tc>
      </w:tr>
      <w:tr>
        <w:tc>
          <w:tcPr>
            <w:tcW w:type="dxa" w:w="24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2. Quản lý chương trình bồi dưỡng</w:t>
            </w:r>
          </w:p>
        </w:tc>
        <w:tc>
          <w:tcPr>
            <w:tcW w:type="dxa" w:w="42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Tạo/sửa chương trình, quản lý học phần, trình duyệt – phê duyệt, tra cứu, lưu trữ</w:t>
            </w:r>
          </w:p>
        </w:tc>
        <w:tc>
          <w:tcPr>
            <w:tcW w:type="dxa" w:w="24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 Hội đồng khoa học, Ban giám hiệu</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3. Quản lý khóa bồi dưỡng</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Khởi tạo khóa, phân công giảng viên, thời khóa biểu, thiết lập hình thức học (trực tiếp/Zoom-MS Teams), thông báo tuyển sinh</w:t>
            </w:r>
          </w:p>
        </w:tc>
        <w:tc>
          <w:tcPr>
            <w:tcW w:type="dxa" w:w="2426"/>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 Trưởng đơn vị chuyên môn</w:t>
            </w:r>
          </w:p>
        </w:tc>
      </w:tr>
      <w:tr>
        <w:tc>
          <w:tcPr>
            <w:tcW w:type="dxa" w:w="24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4. Tuyển sinh &amp; Quản lý học viên</w:t>
            </w:r>
          </w:p>
        </w:tc>
        <w:tc>
          <w:tcPr>
            <w:tcW w:type="dxa" w:w="42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Thiết lập phương thức đăng ký theo chương trình (đăng ký trực tuyến + nộp bản giấy / import danh sách + tự xác nhận CCCD-mã số-tài khoản / chỉ đăng ký dự thi / qua đơn vị liên kết), thẩm định hồ sơ, xét duyệt danh sách chính thức, hồ sơ học viên, thông báo tự động</w:t>
            </w:r>
          </w:p>
        </w:tc>
        <w:tc>
          <w:tcPr>
            <w:tcW w:type="dxa" w:w="24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Học viên, Cán bộ quản lý đào tạo, Lãnh đạo đơn vị, Cán bộ đơn vị liên kết</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5. Quản lý giảng dạy</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Điểm danh, nhật ký buổi học, xử lý đổi lịch/học bù, tài liệu học tập, link phòng học trực tuyến</w:t>
            </w:r>
          </w:p>
        </w:tc>
        <w:tc>
          <w:tcPr>
            <w:tcW w:type="dxa" w:w="2426"/>
            <w:tcMar>
              <w:top w:type="dxa" w:w="80"/>
              <w:left w:type="dxa" w:w="100"/>
              <w:bottom w:type="dxa" w:w="80"/>
              <w:right w:type="dxa" w:w="100"/>
            </w:tcMar>
            <w:vAlign w:val="center"/>
          </w:tcPr>
          <w:p>
            <w:pPr>
              <w:jc w:val="left"/>
            </w:pPr>
            <w:r>
              <w:rPr>
                <w:b w:val="false"/>
                <w:bCs w:val="false"/>
                <w:color w:val="000000"/>
                <w:sz w:val="20"/>
                <w:szCs w:val="20"/>
              </w:rPr>
              <w:t xml:space="preserve">Giảng viên, Cán bộ quản lý đào tạo</w:t>
            </w:r>
          </w:p>
        </w:tc>
      </w:tr>
      <w:tr>
        <w:tc>
          <w:tcPr>
            <w:tcW w:type="dxa" w:w="24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6. Quản lý điểm và kết quả học tập</w:t>
            </w:r>
          </w:p>
        </w:tc>
        <w:tc>
          <w:tcPr>
            <w:tcW w:type="dxa" w:w="42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Nhập điểm, tổng hợp kết quả, xét điều kiện hoàn thành, phê duyệt kết quả, tra cứu điểm, nhập kết quả thi trực tiếp cho khóa chỉ đăng ký dự thi (Phương thức 3)</w:t>
            </w:r>
          </w:p>
        </w:tc>
        <w:tc>
          <w:tcPr>
            <w:tcW w:type="dxa" w:w="24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Giảng viên, Cán bộ quản lý đào tạo, Hội đồng/Lãnh đạo, Học viên</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7. Quản lý học phí</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Thiết lập mức học phí, xác nhận thanh toán, công nợ, phiếu thu, báo cáo tài chính, liên kết điều kiện học phí (cá nhân hoặc theo hợp đồng liên kết đã thanh lý) với kết quả/chứng chỉ</w:t>
            </w:r>
          </w:p>
        </w:tc>
        <w:tc>
          <w:tcPr>
            <w:tcW w:type="dxa" w:w="2426"/>
            <w:tcMar>
              <w:top w:type="dxa" w:w="80"/>
              <w:left w:type="dxa" w:w="100"/>
              <w:bottom w:type="dxa" w:w="80"/>
              <w:right w:type="dxa" w:w="100"/>
            </w:tcMar>
            <w:vAlign w:val="center"/>
          </w:tcPr>
          <w:p>
            <w:pPr>
              <w:jc w:val="left"/>
            </w:pPr>
            <w:r>
              <w:rPr>
                <w:b w:val="false"/>
                <w:bCs w:val="false"/>
                <w:color w:val="000000"/>
                <w:sz w:val="20"/>
                <w:szCs w:val="20"/>
              </w:rPr>
              <w:t xml:space="preserve">Cán bộ tài chính, Cán bộ quản lý đào tạo</w:t>
            </w:r>
          </w:p>
        </w:tc>
      </w:tr>
      <w:tr>
        <w:tc>
          <w:tcPr>
            <w:tcW w:type="dxa" w:w="24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8. Quản lý chứng chỉ/chứng nhận</w:t>
            </w:r>
          </w:p>
        </w:tc>
        <w:tc>
          <w:tcPr>
            <w:tcW w:type="dxa" w:w="42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Lập danh sách đủ điều kiện (chuyên môn và tài chính), sinh số hiệu, ký duyệt, vào sổ, giao nhận theo kênh phù hợp (trực tiếp hoặc qua đơn vị liên kết), tra cứu – xác thực</w:t>
            </w:r>
          </w:p>
        </w:tc>
        <w:tc>
          <w:tcPr>
            <w:tcW w:type="dxa" w:w="24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 Ban giám hiệu, Học viên, Cán bộ đơn vị liên kết</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9. Báo cáo – Thống kê – Dashboard</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Dashboard thời gian thực, báo cáo định kỳ, báo cáo tài chính, báo cáo gửi cấp trên, tra cứu hồ sơ lưu trữ</w:t>
            </w:r>
          </w:p>
        </w:tc>
        <w:tc>
          <w:tcPr>
            <w:tcW w:type="dxa" w:w="2426"/>
            <w:tcMar>
              <w:top w:type="dxa" w:w="80"/>
              <w:left w:type="dxa" w:w="100"/>
              <w:bottom w:type="dxa" w:w="80"/>
              <w:right w:type="dxa" w:w="100"/>
            </w:tcMar>
            <w:vAlign w:val="center"/>
          </w:tcPr>
          <w:p>
            <w:pPr>
              <w:jc w:val="left"/>
            </w:pPr>
            <w:r>
              <w:rPr>
                <w:b w:val="false"/>
                <w:bCs w:val="false"/>
                <w:color w:val="000000"/>
                <w:sz w:val="20"/>
                <w:szCs w:val="20"/>
              </w:rPr>
              <w:t xml:space="preserve">Lãnh đạo, Cán bộ quản lý đào tạo, Cán bộ tài chính</w:t>
            </w:r>
          </w:p>
        </w:tc>
      </w:tr>
      <w:tr>
        <w:tc>
          <w:tcPr>
            <w:tcW w:type="dxa" w:w="24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10. Quản trị hệ thống</w:t>
            </w:r>
          </w:p>
        </w:tc>
        <w:tc>
          <w:tcPr>
            <w:tcW w:type="dxa" w:w="42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Tài khoản người dùng, phân quyền theo vai trò, nhật ký thao tác, sao lưu – phục hồi, cấu hình tham số</w:t>
            </w:r>
          </w:p>
        </w:tc>
        <w:tc>
          <w:tcPr>
            <w:tcW w:type="dxa" w:w="24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Quản trị hệ thống</w:t>
            </w:r>
          </w:p>
        </w:tc>
      </w:tr>
      <w:tr>
        <w:tc>
          <w:tcPr>
            <w:tcW w:type="dxa" w:w="2400"/>
            <w:tcMar>
              <w:top w:type="dxa" w:w="80"/>
              <w:left w:type="dxa" w:w="100"/>
              <w:bottom w:type="dxa" w:w="80"/>
              <w:right w:type="dxa" w:w="100"/>
            </w:tcMar>
            <w:vAlign w:val="center"/>
          </w:tcPr>
          <w:p>
            <w:pPr>
              <w:jc w:val="left"/>
            </w:pPr>
            <w:r>
              <w:rPr>
                <w:b w:val="false"/>
                <w:bCs w:val="false"/>
                <w:color w:val="000000"/>
                <w:sz w:val="20"/>
                <w:szCs w:val="20"/>
              </w:rPr>
              <w:t xml:space="preserve">11. Quản lý đơn vị liên kết</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Danh mục và tài khoản đơn vị liên kết, hợp đồng liên kết tuyển sinh theo khóa, đăng ký/tiếp nhận hồ sơ qua đơn vị liên kết, thanh lý hợp đồng cuối khóa, báo cáo công nợ – doanh thu theo đơn vị liên kết</w:t>
            </w:r>
          </w:p>
        </w:tc>
        <w:tc>
          <w:tcPr>
            <w:tcW w:type="dxa" w:w="2426"/>
            <w:tcMar>
              <w:top w:type="dxa" w:w="80"/>
              <w:left w:type="dxa" w:w="100"/>
              <w:bottom w:type="dxa" w:w="80"/>
              <w:right w:type="dxa" w:w="100"/>
            </w:tcMar>
            <w:vAlign w:val="center"/>
          </w:tcPr>
          <w:p>
            <w:pPr>
              <w:jc w:val="left"/>
            </w:pPr>
            <w:r>
              <w:rPr>
                <w:b w:val="false"/>
                <w:bCs w:val="false"/>
                <w:color w:val="000000"/>
                <w:sz w:val="20"/>
                <w:szCs w:val="20"/>
              </w:rPr>
              <w:t xml:space="preserve">Cán bộ đơn vị liên kết, Cán bộ quản lý đào tạo, Cán bộ tài chính</w:t>
            </w:r>
          </w:p>
        </w:tc>
      </w:tr>
    </w:tbl>
    <w:p>
      <w:pPr>
        <w:spacing w:after="150"/>
      </w:pPr>
    </w:p>
    <w:p>
      <w:pPr>
        <w:pStyle w:val="Heading3"/>
        <w:spacing w:after="100" w:before="200"/>
      </w:pPr>
      <w:r>
        <w:rPr>
          <w:b/>
          <w:bCs/>
          <w:color w:val="2E74B5"/>
        </w:rPr>
        <w:t xml:space="preserve">3.3. Phân quyền người dùng theo vai trò</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60"/>
        <w:gridCol w:w="6766"/>
      </w:tblGrid>
      <w:tr>
        <w:trPr>
          <w:tblHeader/>
        </w:trPr>
        <w:tc>
          <w:tcPr>
            <w:tcW w:type="dxa" w:w="2260"/>
            <w:shd w:fill="1F3864" w:val="clear"/>
            <w:tcMar>
              <w:top w:type="dxa" w:w="80"/>
              <w:left w:type="dxa" w:w="100"/>
              <w:bottom w:type="dxa" w:w="80"/>
              <w:right w:type="dxa" w:w="100"/>
            </w:tcMar>
            <w:vAlign w:val="center"/>
          </w:tcPr>
          <w:p>
            <w:pPr>
              <w:jc w:val="center"/>
            </w:pPr>
            <w:r>
              <w:rPr>
                <w:b/>
                <w:bCs/>
                <w:color w:val="FFFFFF"/>
                <w:sz w:val="20"/>
                <w:szCs w:val="20"/>
              </w:rPr>
              <w:t xml:space="preserve">Vai trò</w:t>
            </w:r>
          </w:p>
        </w:tc>
        <w:tc>
          <w:tcPr>
            <w:tcW w:type="dxa" w:w="6766"/>
            <w:shd w:fill="1F3864" w:val="clear"/>
            <w:tcMar>
              <w:top w:type="dxa" w:w="80"/>
              <w:left w:type="dxa" w:w="100"/>
              <w:bottom w:type="dxa" w:w="80"/>
              <w:right w:type="dxa" w:w="100"/>
            </w:tcMar>
            <w:vAlign w:val="center"/>
          </w:tcPr>
          <w:p>
            <w:pPr>
              <w:jc w:val="center"/>
            </w:pPr>
            <w:r>
              <w:rPr>
                <w:b/>
                <w:bCs/>
                <w:color w:val="FFFFFF"/>
                <w:sz w:val="20"/>
                <w:szCs w:val="20"/>
              </w:rPr>
              <w:t xml:space="preserve">Quyền hạn chính</w:t>
            </w:r>
          </w:p>
        </w:tc>
      </w:tr>
      <w:tr>
        <w:tc>
          <w:tcPr>
            <w:tcW w:type="dxa" w:w="2260"/>
            <w:tcMar>
              <w:top w:type="dxa" w:w="80"/>
              <w:left w:type="dxa" w:w="100"/>
              <w:bottom w:type="dxa" w:w="80"/>
              <w:right w:type="dxa" w:w="100"/>
            </w:tcMar>
            <w:vAlign w:val="center"/>
          </w:tcPr>
          <w:p>
            <w:pPr>
              <w:jc w:val="left"/>
            </w:pPr>
            <w:r>
              <w:rPr>
                <w:b w:val="false"/>
                <w:bCs w:val="false"/>
                <w:color w:val="000000"/>
                <w:sz w:val="20"/>
                <w:szCs w:val="20"/>
              </w:rPr>
              <w:t xml:space="preserve">Quản trị hệ thống (Admin)</w:t>
            </w:r>
          </w:p>
        </w:tc>
        <w:tc>
          <w:tcPr>
            <w:tcW w:type="dxa" w:w="6766"/>
            <w:tcMar>
              <w:top w:type="dxa" w:w="80"/>
              <w:left w:type="dxa" w:w="100"/>
              <w:bottom w:type="dxa" w:w="80"/>
              <w:right w:type="dxa" w:w="100"/>
            </w:tcMar>
            <w:vAlign w:val="center"/>
          </w:tcPr>
          <w:p>
            <w:pPr>
              <w:jc w:val="left"/>
            </w:pPr>
            <w:r>
              <w:rPr>
                <w:b w:val="false"/>
                <w:bCs w:val="false"/>
                <w:color w:val="000000"/>
                <w:sz w:val="20"/>
                <w:szCs w:val="20"/>
              </w:rPr>
              <w:t xml:space="preserve">Toàn quyền cấu hình hệ thống, quản lý người dùng, phân quyền, sao lưu dữ liệu</w:t>
            </w:r>
          </w:p>
        </w:tc>
      </w:tr>
      <w:tr>
        <w:tc>
          <w:tcPr>
            <w:tcW w:type="dxa" w:w="226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quản lý đào tạo</w:t>
            </w:r>
          </w:p>
        </w:tc>
        <w:tc>
          <w:tcPr>
            <w:tcW w:type="dxa" w:w="676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Quản lý chương trình, khóa, học viên, điểm, chứng chỉ; lập báo cáo</w:t>
            </w:r>
          </w:p>
        </w:tc>
      </w:tr>
      <w:tr>
        <w:tc>
          <w:tcPr>
            <w:tcW w:type="dxa" w:w="2260"/>
            <w:tcMar>
              <w:top w:type="dxa" w:w="80"/>
              <w:left w:type="dxa" w:w="100"/>
              <w:bottom w:type="dxa" w:w="80"/>
              <w:right w:type="dxa" w:w="100"/>
            </w:tcMar>
            <w:vAlign w:val="center"/>
          </w:tcPr>
          <w:p>
            <w:pPr>
              <w:jc w:val="left"/>
            </w:pPr>
            <w:r>
              <w:rPr>
                <w:b w:val="false"/>
                <w:bCs w:val="false"/>
                <w:color w:val="000000"/>
                <w:sz w:val="20"/>
                <w:szCs w:val="20"/>
              </w:rPr>
              <w:t xml:space="preserve">Cán bộ tài chính</w:t>
            </w:r>
          </w:p>
        </w:tc>
        <w:tc>
          <w:tcPr>
            <w:tcW w:type="dxa" w:w="6766"/>
            <w:tcMar>
              <w:top w:type="dxa" w:w="80"/>
              <w:left w:type="dxa" w:w="100"/>
              <w:bottom w:type="dxa" w:w="80"/>
              <w:right w:type="dxa" w:w="100"/>
            </w:tcMar>
            <w:vAlign w:val="center"/>
          </w:tcPr>
          <w:p>
            <w:pPr>
              <w:jc w:val="left"/>
            </w:pPr>
            <w:r>
              <w:rPr>
                <w:b w:val="false"/>
                <w:bCs w:val="false"/>
                <w:color w:val="000000"/>
                <w:sz w:val="20"/>
                <w:szCs w:val="20"/>
              </w:rPr>
              <w:t xml:space="preserve">Kiểm tra, xác nhận học viên đã nộp học phí; cập nhật trạng thái thanh toán trên hệ thống; lập phiếu thu, báo cáo thu học phí và công nợ theo khóa</w:t>
            </w:r>
          </w:p>
        </w:tc>
      </w:tr>
      <w:tr>
        <w:tc>
          <w:tcPr>
            <w:tcW w:type="dxa" w:w="226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Giảng viên</w:t>
            </w:r>
          </w:p>
        </w:tc>
        <w:tc>
          <w:tcPr>
            <w:tcW w:type="dxa" w:w="676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Xem khóa/thời khóa biểu được phân công, điểm danh, nhập điểm học phần phụ trách</w:t>
            </w:r>
          </w:p>
        </w:tc>
      </w:tr>
      <w:tr>
        <w:tc>
          <w:tcPr>
            <w:tcW w:type="dxa" w:w="2260"/>
            <w:tcMar>
              <w:top w:type="dxa" w:w="80"/>
              <w:left w:type="dxa" w:w="100"/>
              <w:bottom w:type="dxa" w:w="80"/>
              <w:right w:type="dxa" w:w="100"/>
            </w:tcMar>
            <w:vAlign w:val="center"/>
          </w:tcPr>
          <w:p>
            <w:pPr>
              <w:jc w:val="left"/>
            </w:pPr>
            <w:r>
              <w:rPr>
                <w:b w:val="false"/>
                <w:bCs w:val="false"/>
                <w:color w:val="000000"/>
                <w:sz w:val="20"/>
                <w:szCs w:val="20"/>
              </w:rPr>
              <w:t xml:space="preserve">Học viên</w:t>
            </w:r>
          </w:p>
        </w:tc>
        <w:tc>
          <w:tcPr>
            <w:tcW w:type="dxa" w:w="6766"/>
            <w:tcMar>
              <w:top w:type="dxa" w:w="80"/>
              <w:left w:type="dxa" w:w="100"/>
              <w:bottom w:type="dxa" w:w="80"/>
              <w:right w:type="dxa" w:w="100"/>
            </w:tcMar>
            <w:vAlign w:val="center"/>
          </w:tcPr>
          <w:p>
            <w:pPr>
              <w:jc w:val="left"/>
            </w:pPr>
            <w:r>
              <w:rPr>
                <w:b w:val="false"/>
                <w:bCs w:val="false"/>
                <w:color w:val="000000"/>
                <w:sz w:val="20"/>
                <w:szCs w:val="20"/>
              </w:rPr>
              <w:t xml:space="preserve">Đăng ký khóa, xem lịch học, xem điểm, xem/nộp học phí, tra cứu/tải chứng chỉ (nếu triển khai cổng thông tin học viên)</w:t>
            </w:r>
          </w:p>
        </w:tc>
      </w:tr>
      <w:tr>
        <w:tc>
          <w:tcPr>
            <w:tcW w:type="dxa" w:w="226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đơn vị liên kết</w:t>
            </w:r>
          </w:p>
        </w:tc>
        <w:tc>
          <w:tcPr>
            <w:tcW w:type="dxa" w:w="676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Đăng ký học viên thay mặt đơn vị liên kết vào các khóa được phân công, in đơn đăng ký, xem danh sách và tiến độ thanh lý hợp đồng của đơn vị mình; không xem được học phí cá nhân hoặc dữ liệu của khóa/đơn vị khác</w:t>
            </w:r>
          </w:p>
        </w:tc>
      </w:tr>
      <w:tr>
        <w:tc>
          <w:tcPr>
            <w:tcW w:type="dxa" w:w="2260"/>
            <w:tcMar>
              <w:top w:type="dxa" w:w="80"/>
              <w:left w:type="dxa" w:w="100"/>
              <w:bottom w:type="dxa" w:w="80"/>
              <w:right w:type="dxa" w:w="100"/>
            </w:tcMar>
            <w:vAlign w:val="center"/>
          </w:tcPr>
          <w:p>
            <w:pPr>
              <w:jc w:val="left"/>
            </w:pPr>
            <w:r>
              <w:rPr>
                <w:b w:val="false"/>
                <w:bCs w:val="false"/>
                <w:color w:val="000000"/>
                <w:sz w:val="20"/>
                <w:szCs w:val="20"/>
              </w:rPr>
              <w:t xml:space="preserve">Lãnh đạo/Ban giám hiệu</w:t>
            </w:r>
          </w:p>
        </w:tc>
        <w:tc>
          <w:tcPr>
            <w:tcW w:type="dxa" w:w="6766"/>
            <w:tcMar>
              <w:top w:type="dxa" w:w="80"/>
              <w:left w:type="dxa" w:w="100"/>
              <w:bottom w:type="dxa" w:w="80"/>
              <w:right w:type="dxa" w:w="100"/>
            </w:tcMar>
            <w:vAlign w:val="center"/>
          </w:tcPr>
          <w:p>
            <w:pPr>
              <w:jc w:val="left"/>
            </w:pPr>
            <w:r>
              <w:rPr>
                <w:b w:val="false"/>
                <w:bCs w:val="false"/>
                <w:color w:val="000000"/>
                <w:sz w:val="20"/>
                <w:szCs w:val="20"/>
              </w:rPr>
              <w:t xml:space="preserve">Xem báo cáo, thống kê tổng hợp (bao gồm báo cáo tài chính); phê duyệt chương trình, kết quả, chứng chỉ</w:t>
            </w:r>
          </w:p>
        </w:tc>
      </w:tr>
    </w:tbl>
    <w:p>
      <w:pPr>
        <w:spacing w:after="150"/>
      </w:pPr>
    </w:p>
    <w:p>
      <w:pPr>
        <w:pStyle w:val="Heading3"/>
        <w:spacing w:after="100" w:before="200"/>
      </w:pPr>
      <w:r>
        <w:rPr>
          <w:b/>
          <w:bCs/>
          <w:color w:val="2E74B5"/>
        </w:rPr>
        <w:t xml:space="preserve">3.4. Đề xuất kiến trúc và công nghệ</w:t>
      </w:r>
    </w:p>
    <w:p>
      <w:pPr>
        <w:pStyle w:val="ListParagraph"/>
        <w:numPr>
          <w:ilvl w:val="0"/>
          <w:numId w:val="2"/>
        </w:numPr>
        <w:spacing w:after="60"/>
      </w:pPr>
      <w:r>
        <w:t xml:space="preserve">Tách riêng 2 hệ thống theo đúng vai trò: website crdc.ued.udn.vn hiện có tiếp tục đóng vai trò quảng bá, giới thiệu chương trình/khóa bồi dưỡng; hệ thống nghiệp vụ (đăng ký, học phí, điểm, chứng chỉ...) được xây dựng và vận hành độc lập tại 1 subdomain riêng, đề xuất dangky.ued.udn.vn.</w:t>
      </w:r>
    </w:p>
    <w:p>
      <w:pPr>
        <w:pStyle w:val="ListParagraph"/>
        <w:numPr>
          <w:ilvl w:val="0"/>
          <w:numId w:val="2"/>
        </w:numPr>
        <w:spacing w:after="60"/>
      </w:pPr>
      <w:r>
        <w:t xml:space="preserve">Giai đoạn đầu (Đợt 1), liên kết 2 hệ thống theo cách đơn giản: mỗi khi mở khóa, hệ thống nghiệp vụ sinh sẵn 1 đường link đăng ký công khai theo khóa (dạng https://dangky.ued.udn.vn/khoa/{mã khóa}); cán bộ dán đường link này vào bài đăng/nút "Đăng ký ngay" trên crdc.ued.udn.vn — không cần chỉnh sửa mã nguồn crdc.</w:t>
      </w:r>
    </w:p>
    <w:p>
      <w:pPr>
        <w:pStyle w:val="ListParagraph"/>
        <w:numPr>
          <w:ilvl w:val="0"/>
          <w:numId w:val="2"/>
        </w:numPr>
        <w:spacing w:after="60"/>
      </w:pPr>
      <w:r>
        <w:t xml:space="preserve">Giai đoạn sau (Đợt 2/3), có thể nâng cấp lên tích hợp tự động: hệ thống nghiệp vụ cung cấp 1 API công khai (danh sách khóa đang tuyển sinh) để crdc tự hiển thị và cập nhật, không cần đăng nhập lại; khi đó cần chỉnh sửa thêm phần frontend của crdc.</w:t>
      </w:r>
    </w:p>
    <w:p>
      <w:pPr>
        <w:pStyle w:val="ListParagraph"/>
        <w:numPr>
          <w:ilvl w:val="0"/>
          <w:numId w:val="2"/>
        </w:numPr>
        <w:spacing w:after="60"/>
      </w:pPr>
      <w:r>
        <w:t xml:space="preserve">Xây dựng dưới dạng ứng dụng web (responsive) để cán bộ, giảng viên, học viên truy cập được qua trình duyệt.</w:t>
      </w:r>
    </w:p>
    <w:p>
      <w:pPr>
        <w:pStyle w:val="ListParagraph"/>
        <w:numPr>
          <w:ilvl w:val="0"/>
          <w:numId w:val="2"/>
        </w:numPr>
        <w:spacing w:after="60"/>
      </w:pPr>
      <w:r>
        <w:t xml:space="preserve">Sử dụng cơ sở dữ liệu quan hệ (MySQL/PostgreSQL/SQL Server...) lưu trữ tập trung.</w:t>
      </w:r>
    </w:p>
    <w:p>
      <w:pPr>
        <w:pStyle w:val="ListParagraph"/>
        <w:numPr>
          <w:ilvl w:val="0"/>
          <w:numId w:val="2"/>
        </w:numPr>
        <w:spacing w:after="60"/>
      </w:pPr>
      <w:r>
        <w:t xml:space="preserve">Có thể lựa chọn một trong hai hướng: (a) đặt hàng phát triển phần mềm riêng phù hợp đặc thù của trường; hoặc (b) tùy biến trên nền tảng phần mềm quản lý đào tạo/LMS có sẵn để rút ngắn thời gian và chi phí.</w:t>
      </w:r>
    </w:p>
    <w:p>
      <w:pPr>
        <w:pStyle w:val="ListParagraph"/>
        <w:numPr>
          <w:ilvl w:val="0"/>
          <w:numId w:val="2"/>
        </w:numPr>
        <w:spacing w:after="60"/>
      </w:pPr>
      <w:r>
        <w:t xml:space="preserve">Cân nhắc tích hợp/đồng bộ với các hệ thống hiện có của trường (cổng thông tin đào tạo, hệ thống quản lý văn bản, email trường) để tránh nhập liệu trùng lặp.</w:t>
      </w:r>
    </w:p>
    <w:p>
      <w:pPr>
        <w:pStyle w:val="ListParagraph"/>
        <w:numPr>
          <w:ilvl w:val="0"/>
          <w:numId w:val="2"/>
        </w:numPr>
        <w:spacing w:after="60"/>
      </w:pPr>
      <w:r>
        <w:t xml:space="preserve">Tích hợp API của Zoom hoặc Microsoft Teams để tự động tạo, quản lý và gửi link phòng học trực tuyến gắn với từng buổi học của khóa dạy trực tuyến.</w:t>
      </w:r>
    </w:p>
    <w:p>
      <w:pPr>
        <w:pStyle w:val="ListParagraph"/>
        <w:numPr>
          <w:ilvl w:val="0"/>
          <w:numId w:val="2"/>
        </w:numPr>
        <w:spacing w:after="60"/>
      </w:pPr>
      <w:r>
        <w:t xml:space="preserve">Xây dựng dashboard/bảng điều khiển cập nhật số liệu thật theo thời gian thực (real-time), dùng thư viện trực quan hóa dữ liệu (biểu đồ, chỉ số) để lãnh đạo và cán bộ quản lý theo dõi trực tiếp mà không cần chờ báo cáo tổng hợp.</w:t>
      </w:r>
    </w:p>
    <w:p>
      <w:pPr>
        <w:pStyle w:val="ListParagraph"/>
        <w:numPr>
          <w:ilvl w:val="0"/>
          <w:numId w:val="2"/>
        </w:numPr>
        <w:spacing w:after="60"/>
      </w:pPr>
      <w:r>
        <w:t xml:space="preserve">Đảm bảo yêu cầu bảo mật: phân quyền chi tiết, mã hóa dữ liệu nhạy cảm, sao lưu định kỳ, ghi nhật ký truy cập.</w:t>
      </w:r>
    </w:p>
    <w:p>
      <w:pPr>
        <w:spacing w:after="150"/>
      </w:pPr>
    </w:p>
    <w:p>
      <w:pPr>
        <w:pStyle w:val="Heading3"/>
        <w:spacing w:after="100" w:before="200"/>
      </w:pPr>
      <w:r>
        <w:rPr>
          <w:b/>
          <w:bCs/>
          <w:color w:val="2E74B5"/>
        </w:rPr>
        <w:t xml:space="preserve">3.5. Tham khảo bố cục và màu sắc giao diện (quan sát từ taphuan.csdl.edu.vn)</w:t>
      </w:r>
    </w:p>
    <w:p>
      <w:pPr>
        <w:spacing w:after="120"/>
      </w:pPr>
      <w:r>
        <w:t xml:space="preserve">Ngày 20/09/2026, đã đăng nhập bằng 1 tài khoản giáo viên (vai trò học viên/giảng viên, không có quyền quản trị) trên taphuan.csdl.edu.vn — hệ thống bồi dưỡng thường xuyên GVPT và CBQLCSGDPT do Bộ GDĐT chủ trì, Viettel xây dựng — để bổ sung tham khảo bố cục và màu sắc cho các màn hình phía Học viên/Giảng viên. Các màn hình phía cán bộ quản lý (CT-05, KH-05, HV-08, QT-01, BC-02/03...) xem chi tiết tại sheet "Tham khảo giao diện" trong file Excel đặc tả đính kèm. Chỉ quan sát bố cục/luồng màn hình, không sao chép dữ liệu hay mã nguồn.</w:t>
      </w:r>
    </w:p>
    <w:p>
      <w:pPr>
        <w:pStyle w:val="ListParagraph"/>
        <w:numPr>
          <w:ilvl w:val="0"/>
          <w:numId w:val="2"/>
        </w:numPr>
        <w:spacing w:after="60"/>
      </w:pPr>
      <w:r>
        <w:t xml:space="preserve">Điều hướng: top bar ngang (logo + menu các module lớn: Học tập/Giảng dạy/Khảo sát/Kỳ thi... + bộ chọn "Năm học" dùng chung + chuông thông báo + avatar người dùng) kết hợp 1 dải tab phụ màu xanh đậm bên dưới cho các nhóm chức năng con của module đang chọn (ví dụ: Đăng Ký Môn, Lộ trình theo năm, Chương Trình Bồi Dưỡng, Khóa Học, Chứng Chỉ...). Có thể dùng thay thế hoặc kết hợp với mô hình sidebar đã đề xuất ở sheet Excel.</w:t>
      </w:r>
    </w:p>
    <w:p>
      <w:pPr>
        <w:pStyle w:val="ListParagraph"/>
        <w:numPr>
          <w:ilvl w:val="0"/>
          <w:numId w:val="2"/>
        </w:numPr>
        <w:spacing w:after="60"/>
      </w:pPr>
      <w:r>
        <w:t xml:space="preserve">Trạng thái rỗng (chưa có dữ liệu): icon outline căn giữa (tài liệu/hộp thoại) kèm dòng chữ xám nhạt "Chưa có...", "Không có..." — nên áp dụng thống nhất cho mọi danh sách trống trong hệ thống mới (khóa học, chứng chỉ, hỏi đáp...).</w:t>
      </w:r>
    </w:p>
    <w:p>
      <w:pPr>
        <w:pStyle w:val="ListParagraph"/>
        <w:numPr>
          <w:ilvl w:val="0"/>
          <w:numId w:val="2"/>
        </w:numPr>
        <w:spacing w:after="60"/>
      </w:pPr>
      <w:r>
        <w:t xml:space="preserve">Dashboard tiến độ học tập: vòng tròn progress (%) đặt cạnh các ô số liệu (stat tile), phía dưới là bảng chi tiết dạng multi-header (nhóm cột "Khóa học" chứa các cột con: Tên khóa học/Thời hạn/CT Bồi dưỡng/Kết quả/Điểm/Tiến độ) — mẫu tham khảo tốt cho BC-01 (dashboard thời gian thực) và KQ-02/KQ-05 (tổng hợp kết quả, tra cứu điểm).</w:t>
      </w:r>
    </w:p>
    <w:p>
      <w:pPr>
        <w:pStyle w:val="ListParagraph"/>
        <w:numPr>
          <w:ilvl w:val="0"/>
          <w:numId w:val="2"/>
        </w:numPr>
        <w:spacing w:after="60"/>
      </w:pPr>
      <w:r>
        <w:t xml:space="preserve">Lớp học ảo: bộ lọc "Chọn lớp" (dropdown) + nhóm checkbox trạng thái buổi học (Đang diễn ra/Sắp diễn ra/Kết thúc), tích hợp Zoom — tham khảo cho KH-04/GD-05 (link phòng học trực tuyến).</w:t>
      </w:r>
    </w:p>
    <w:p>
      <w:pPr>
        <w:pStyle w:val="ListParagraph"/>
        <w:numPr>
          <w:ilvl w:val="0"/>
          <w:numId w:val="2"/>
        </w:numPr>
        <w:spacing w:after="60"/>
      </w:pPr>
      <w:r>
        <w:t xml:space="preserve">Danh sách khóa học đang dạy (phía giảng viên): bộ lọc trạng thái khóa dạng radio (Tất cả/Đang hoạt động/Hết hạn), checkbox "khóa tôi giảng dạy", ô tìm theo tên/mã khóa — tham khảo bộ lọc cho KH-05.</w:t>
      </w:r>
    </w:p>
    <w:p>
      <w:pPr>
        <w:pStyle w:val="ListParagraph"/>
        <w:numPr>
          <w:ilvl w:val="0"/>
          <w:numId w:val="2"/>
        </w:numPr>
        <w:spacing w:after="60"/>
      </w:pPr>
      <w:r>
        <w:t xml:space="preserve">Chứng chỉ: trang "Danh sách chứng chỉ" với nút hành động chính đặt ở góc phải phía trên (nút cam "+ Thêm mới") — tham khảo vị trí và màu nút hành động chính cho module Quản lý chứng chỉ (CC).</w:t>
      </w:r>
    </w:p>
    <w:p>
      <w:pPr>
        <w:pStyle w:val="ListParagraph"/>
        <w:numPr>
          <w:ilvl w:val="0"/>
          <w:numId w:val="2"/>
        </w:numPr>
        <w:spacing w:after="60"/>
      </w:pPr>
      <w:r>
        <w:t xml:space="preserve">Kỳ thi: 3 tab con (Cuộc thi sắp diễn ra/Luyện thi/Lịch sử thi) — tham khảo cho luồng Phương thức 3 (chỉ đăng ký dự thi, không qua giai đoạn học).</w:t>
      </w:r>
    </w:p>
    <w:p>
      <w:pPr>
        <w:pStyle w:val="ListParagraph"/>
        <w:numPr>
          <w:ilvl w:val="0"/>
          <w:numId w:val="2"/>
        </w:numPr>
        <w:spacing w:after="60"/>
      </w:pPr>
      <w:r>
        <w:t xml:space="preserve">Màu sắc chủ đạo quan sát được: xanh dương đậm cho header/liên kết/nhấn mạnh, xanh lá–ngọc (teal) cho nút chính/tab đang chọn/vòng progress, cam cho nút hành động phụ ("Đặt câu hỏi", "Thêm mới"), nền hồng/đỏ nhạt cho khối cảnh báo/lưu ý. Có thể dùng làm bảng màu khởi điểm nếu trường chưa chốt bộ nhận diện thương hiệu riêng cho hệ thống nghiệp vụ mới.</w:t>
      </w:r>
    </w:p>
    <w:p>
      <w:r>
        <w:br w:type="page"/>
      </w:r>
    </w:p>
    <w:p>
      <w:pPr>
        <w:pStyle w:val="Heading2"/>
        <w:spacing w:after="150" w:before="300"/>
      </w:pPr>
      <w:r>
        <w:rPr>
          <w:b/>
          <w:bCs/>
          <w:color w:val="1F3864"/>
        </w:rPr>
        <w:t xml:space="preserve">4. Giai đoạn 4: Xây dựng/phát triển hệ thống</w:t>
      </w:r>
    </w:p>
    <w:p>
      <w:pPr>
        <w:pStyle w:val="ListParagraph"/>
        <w:numPr>
          <w:ilvl w:val="0"/>
          <w:numId w:val="2"/>
        </w:numPr>
        <w:spacing w:after="60"/>
      </w:pPr>
      <w:r>
        <w:t xml:space="preserve">Lựa chọn phương án triển khai: tự phát triển nội bộ (nếu có đội IT), thuê đơn vị phát triển phần mềm, hoặc mua/tùy chỉnh phần mềm có sẵn.</w:t>
      </w:r>
    </w:p>
    <w:p>
      <w:pPr>
        <w:pStyle w:val="ListParagraph"/>
        <w:numPr>
          <w:ilvl w:val="0"/>
          <w:numId w:val="2"/>
        </w:numPr>
        <w:spacing w:after="60"/>
      </w:pPr>
      <w:r>
        <w:t xml:space="preserve">Xây dựng theo từng đợt (sprint/giai đoạn), ưu tiên các module cốt lõi trước theo thứ tự: Quản lý chương trình → Quản lý khóa → Quản lý học viên → Học phí → Điểm/Kết quả → Chứng chỉ → Báo cáo.</w:t>
      </w:r>
    </w:p>
    <w:p>
      <w:pPr>
        <w:pStyle w:val="ListParagraph"/>
        <w:numPr>
          <w:ilvl w:val="0"/>
          <w:numId w:val="2"/>
        </w:numPr>
        <w:spacing w:after="60"/>
      </w:pPr>
      <w:r>
        <w:t xml:space="preserve">Thường xuyên demo và lấy ý kiến phản hồi từ tổ nghiệp vụ trong quá trình xây dựng để điều chỉnh kịp thời.</w:t>
      </w:r>
    </w:p>
    <w:p>
      <w:pPr>
        <w:spacing w:after="150"/>
      </w:pPr>
    </w:p>
    <w:p>
      <w:pPr>
        <w:pStyle w:val="Heading2"/>
        <w:spacing w:after="150" w:before="300"/>
      </w:pPr>
      <w:r>
        <w:rPr>
          <w:b/>
          <w:bCs/>
          <w:color w:val="1F3864"/>
        </w:rPr>
        <w:t xml:space="preserve">5. Giai đoạn 5: Kiểm thử</w:t>
      </w:r>
    </w:p>
    <w:p>
      <w:pPr>
        <w:pStyle w:val="ListParagraph"/>
        <w:numPr>
          <w:ilvl w:val="0"/>
          <w:numId w:val="2"/>
        </w:numPr>
        <w:spacing w:after="60"/>
      </w:pPr>
      <w:r>
        <w:t xml:space="preserve">Kiểm thử chức năng: đảm bảo từng nghiệp vụ hoạt động đúng như thiết kế.</w:t>
      </w:r>
    </w:p>
    <w:p>
      <w:pPr>
        <w:pStyle w:val="ListParagraph"/>
        <w:numPr>
          <w:ilvl w:val="0"/>
          <w:numId w:val="2"/>
        </w:numPr>
        <w:spacing w:after="60"/>
      </w:pPr>
      <w:r>
        <w:t xml:space="preserve">Kiểm thử dữ liệu: tính đúng đắn khi nhập/xuất, tính điểm, sinh số hiệu chứng chỉ.</w:t>
      </w:r>
    </w:p>
    <w:p>
      <w:pPr>
        <w:pStyle w:val="ListParagraph"/>
        <w:numPr>
          <w:ilvl w:val="0"/>
          <w:numId w:val="2"/>
        </w:numPr>
        <w:spacing w:after="60"/>
      </w:pPr>
      <w:r>
        <w:t xml:space="preserve">Kiểm thử bảo mật và phân quyền: đảm bảo mỗi vai trò chỉ thao tác đúng phạm vi được phép.</w:t>
      </w:r>
    </w:p>
    <w:p>
      <w:pPr>
        <w:pStyle w:val="ListParagraph"/>
        <w:numPr>
          <w:ilvl w:val="0"/>
          <w:numId w:val="2"/>
        </w:numPr>
        <w:spacing w:after="60"/>
      </w:pPr>
      <w:r>
        <w:t xml:space="preserve">Kiểm thử chấp nhận người dùng (UAT): cán bộ quản lý đào tạo, giảng viên trực tiếp dùng thử trên dữ liệu/tình huống thực tế, ghi nhận và xử lý lỗi trước khi go-live.</w:t>
      </w:r>
    </w:p>
    <w:p>
      <w:pPr>
        <w:spacing w:after="150"/>
      </w:pPr>
    </w:p>
    <w:p>
      <w:pPr>
        <w:pStyle w:val="Heading2"/>
        <w:spacing w:after="150" w:before="300"/>
      </w:pPr>
      <w:r>
        <w:rPr>
          <w:b/>
          <w:bCs/>
          <w:color w:val="1F3864"/>
        </w:rPr>
        <w:t xml:space="preserve">6. Giai đoạn 6: Triển khai và đào tạo sử dụng</w:t>
      </w:r>
    </w:p>
    <w:p>
      <w:pPr>
        <w:pStyle w:val="ListParagraph"/>
        <w:numPr>
          <w:ilvl w:val="0"/>
          <w:numId w:val="2"/>
        </w:numPr>
        <w:spacing w:after="60"/>
      </w:pPr>
      <w:r>
        <w:t xml:space="preserve">Chuyển đổi dữ liệu (data migration): nhập lại dữ liệu chương trình, khóa, học viên, học phí, kết quả từ Excel/hệ thống cũ vào hệ thống mới; đối chiếu, làm sạch dữ liệu trước khi chuyển đổi.</w:t>
      </w:r>
    </w:p>
    <w:p>
      <w:pPr>
        <w:pStyle w:val="ListParagraph"/>
        <w:numPr>
          <w:ilvl w:val="0"/>
          <w:numId w:val="2"/>
        </w:numPr>
        <w:spacing w:after="60"/>
      </w:pPr>
      <w:r>
        <w:t xml:space="preserve">Chạy thử song song (nếu cần) giữa hệ thống mới và cách quản lý cũ trên một khóa thí điểm để đối chiếu kết quả trước khi áp dụng đại trà.</w:t>
      </w:r>
    </w:p>
    <w:p>
      <w:pPr>
        <w:pStyle w:val="ListParagraph"/>
        <w:numPr>
          <w:ilvl w:val="0"/>
          <w:numId w:val="2"/>
        </w:numPr>
        <w:spacing w:after="60"/>
      </w:pPr>
      <w:r>
        <w:t xml:space="preserve">Xây dựng tài liệu hướng dẫn sử dụng theo từng vai trò và video hướng dẫn ngắn.</w:t>
      </w:r>
    </w:p>
    <w:p>
      <w:pPr>
        <w:pStyle w:val="ListParagraph"/>
        <w:numPr>
          <w:ilvl w:val="0"/>
          <w:numId w:val="2"/>
        </w:numPr>
        <w:spacing w:after="60"/>
      </w:pPr>
      <w:r>
        <w:t xml:space="preserve">Tổ chức tập huấn trực tiếp cho cán bộ quản lý đào tạo, giảng viên; hướng dẫn học viên qua thông báo/hướng dẫn trên hệ thống.</w:t>
      </w:r>
    </w:p>
    <w:p>
      <w:pPr>
        <w:pStyle w:val="ListParagraph"/>
        <w:numPr>
          <w:ilvl w:val="0"/>
          <w:numId w:val="2"/>
        </w:numPr>
        <w:spacing w:after="60"/>
      </w:pPr>
      <w:r>
        <w:t xml:space="preserve">Go-live: chính thức đưa hệ thống vào sử dụng, có kế hoạch hỗ trợ sát sao trong 2–4 tuần đầu.</w:t>
      </w:r>
    </w:p>
    <w:p>
      <w:pPr>
        <w:spacing w:after="150"/>
      </w:pPr>
    </w:p>
    <w:p>
      <w:pPr>
        <w:pStyle w:val="Heading2"/>
        <w:spacing w:after="150" w:before="300"/>
      </w:pPr>
      <w:r>
        <w:rPr>
          <w:b/>
          <w:bCs/>
          <w:color w:val="1F3864"/>
        </w:rPr>
        <w:t xml:space="preserve">7. Giai đoạn 7: Vận hành, bảo trì và cải tiến</w:t>
      </w:r>
    </w:p>
    <w:p>
      <w:pPr>
        <w:pStyle w:val="ListParagraph"/>
        <w:numPr>
          <w:ilvl w:val="0"/>
          <w:numId w:val="2"/>
        </w:numPr>
        <w:spacing w:after="60"/>
      </w:pPr>
      <w:r>
        <w:t xml:space="preserve">Bố trí đầu mối hỗ trợ kỹ thuật (IT) và đầu mối nghiệp vụ để tiếp nhận, xử lý sự cố/thắc mắc.</w:t>
      </w:r>
    </w:p>
    <w:p>
      <w:pPr>
        <w:pStyle w:val="ListParagraph"/>
        <w:numPr>
          <w:ilvl w:val="0"/>
          <w:numId w:val="2"/>
        </w:numPr>
        <w:spacing w:after="60"/>
      </w:pPr>
      <w:r>
        <w:t xml:space="preserve">Sao lưu dữ liệu định kỳ, kiểm tra an toàn thông tin.</w:t>
      </w:r>
    </w:p>
    <w:p>
      <w:pPr>
        <w:pStyle w:val="ListParagraph"/>
        <w:numPr>
          <w:ilvl w:val="0"/>
          <w:numId w:val="2"/>
        </w:numPr>
        <w:spacing w:after="60"/>
      </w:pPr>
      <w:r>
        <w:t xml:space="preserve">Thu thập phản hồi người dùng để lên kế hoạch nâng cấp, bổ sung tính năng theo từng đợt.</w:t>
      </w:r>
    </w:p>
    <w:p>
      <w:pPr>
        <w:pStyle w:val="ListParagraph"/>
        <w:numPr>
          <w:ilvl w:val="0"/>
          <w:numId w:val="2"/>
        </w:numPr>
        <w:spacing w:after="60"/>
      </w:pPr>
      <w:r>
        <w:t xml:space="preserve">Cập nhật hệ thống khi có thay đổi quy định về bồi dưỡng, chứng chỉ từ Bộ/Sở Giáo dục và Đào tạo.</w:t>
      </w:r>
    </w:p>
    <w:p>
      <w:r>
        <w:br w:type="page"/>
      </w:r>
    </w:p>
    <w:p>
      <w:pPr>
        <w:pStyle w:val="Heading1"/>
        <w:spacing w:after="200" w:before="400"/>
      </w:pPr>
      <w:r>
        <w:rPr>
          <w:b/>
          <w:bCs/>
          <w:color w:val="1F3864"/>
        </w:rPr>
        <w:t xml:space="preserve">IV. LỘ TRÌNH TRIỂN KHAI THAM KHẢO (~20 TUẦN)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226"/>
      </w:tblGrid>
      <w:tr>
        <w:trPr>
          <w:tblHeader/>
        </w:trPr>
        <w:tc>
          <w:tcPr>
            <w:tcW w:type="dxa" w:w="1800"/>
            <w:shd w:fill="1F3864" w:val="clear"/>
            <w:tcMar>
              <w:top w:type="dxa" w:w="80"/>
              <w:left w:type="dxa" w:w="100"/>
              <w:bottom w:type="dxa" w:w="80"/>
              <w:right w:type="dxa" w:w="100"/>
            </w:tcMar>
            <w:vAlign w:val="center"/>
          </w:tcPr>
          <w:p>
            <w:pPr>
              <w:jc w:val="center"/>
            </w:pPr>
            <w:r>
              <w:rPr>
                <w:b/>
                <w:bCs/>
                <w:color w:val="FFFFFF"/>
                <w:sz w:val="20"/>
                <w:szCs w:val="20"/>
              </w:rPr>
              <w:t xml:space="preserve">Thời gian</w:t>
            </w:r>
          </w:p>
        </w:tc>
        <w:tc>
          <w:tcPr>
            <w:tcW w:type="dxa" w:w="7226"/>
            <w:shd w:fill="1F3864" w:val="clear"/>
            <w:tcMar>
              <w:top w:type="dxa" w:w="80"/>
              <w:left w:type="dxa" w:w="100"/>
              <w:bottom w:type="dxa" w:w="80"/>
              <w:right w:type="dxa" w:w="100"/>
            </w:tcMar>
            <w:vAlign w:val="center"/>
          </w:tcPr>
          <w:p>
            <w:pPr>
              <w:jc w:val="center"/>
            </w:pPr>
            <w:r>
              <w:rPr>
                <w:b/>
                <w:bCs/>
                <w:color w:val="FFFFFF"/>
                <w:sz w:val="20"/>
                <w:szCs w:val="20"/>
              </w:rPr>
              <w:t xml:space="preserve">Công việc chính</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Tuần 1 – 4</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Khảo sát, thu thập yêu cầu, biên soạn và phê duyệt tài liệu yêu cầu nghiệp vụ (BRD)</w:t>
            </w:r>
          </w:p>
        </w:tc>
      </w:tr>
      <w:tr>
        <w:tc>
          <w:tcPr>
            <w:tcW w:type="dxa" w:w="18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Tuần 5 – 7</w:t>
            </w:r>
          </w:p>
        </w:tc>
        <w:tc>
          <w:tcPr>
            <w:tcW w:type="dxa" w:w="72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Thiết kế và thống nhất các quy trình nghiệp vụ (SOP) với các đơn vị liên quan</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Tuần 8 – 11</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Thiết kế hệ thống thông tin: mô hình dữ liệu, chức năng, phân quyền, giao diện</w:t>
            </w:r>
          </w:p>
        </w:tc>
      </w:tr>
      <w:tr>
        <w:tc>
          <w:tcPr>
            <w:tcW w:type="dxa" w:w="18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Tuần 12 – 19</w:t>
            </w:r>
          </w:p>
        </w:tc>
        <w:tc>
          <w:tcPr>
            <w:tcW w:type="dxa" w:w="72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Xây dựng/phát triển hệ thống theo từng đợt, ưu tiên module cốt lõi</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Tuần 20 – 22</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Kiểm thử chức năng, bảo mật và kiểm thử chấp nhận người dùng (UAT)</w:t>
            </w:r>
          </w:p>
        </w:tc>
      </w:tr>
      <w:tr>
        <w:tc>
          <w:tcPr>
            <w:tcW w:type="dxa" w:w="18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Tuần 23 – 25</w:t>
            </w:r>
          </w:p>
        </w:tc>
        <w:tc>
          <w:tcPr>
            <w:tcW w:type="dxa" w:w="72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Chuyển đổi dữ liệu, tập huấn, chạy thử, go-live</w:t>
            </w:r>
          </w:p>
        </w:tc>
      </w:tr>
      <w:tr>
        <w:tc>
          <w:tcPr>
            <w:tcW w:type="dxa" w:w="1800"/>
            <w:tcMar>
              <w:top w:type="dxa" w:w="80"/>
              <w:left w:type="dxa" w:w="100"/>
              <w:bottom w:type="dxa" w:w="80"/>
              <w:right w:type="dxa" w:w="100"/>
            </w:tcMar>
            <w:vAlign w:val="center"/>
          </w:tcPr>
          <w:p>
            <w:pPr>
              <w:jc w:val="left"/>
            </w:pPr>
            <w:r>
              <w:rPr>
                <w:b w:val="false"/>
                <w:bCs w:val="false"/>
                <w:color w:val="000000"/>
                <w:sz w:val="20"/>
                <w:szCs w:val="20"/>
              </w:rPr>
              <w:t xml:space="preserve">Từ tuần 26 trở đi</w:t>
            </w:r>
          </w:p>
        </w:tc>
        <w:tc>
          <w:tcPr>
            <w:tcW w:type="dxa" w:w="7226"/>
            <w:tcMar>
              <w:top w:type="dxa" w:w="80"/>
              <w:left w:type="dxa" w:w="100"/>
              <w:bottom w:type="dxa" w:w="80"/>
              <w:right w:type="dxa" w:w="100"/>
            </w:tcMar>
            <w:vAlign w:val="center"/>
          </w:tcPr>
          <w:p>
            <w:pPr>
              <w:jc w:val="left"/>
            </w:pPr>
            <w:r>
              <w:rPr>
                <w:b w:val="false"/>
                <w:bCs w:val="false"/>
                <w:color w:val="000000"/>
                <w:sz w:val="20"/>
                <w:szCs w:val="20"/>
              </w:rPr>
              <w:t xml:space="preserve">Vận hành chính thức, hỗ trợ, thu thập phản hồi và cải tiến định kỳ</w:t>
            </w:r>
          </w:p>
        </w:tc>
      </w:tr>
    </w:tbl>
    <w:p>
      <w:pPr>
        <w:spacing w:after="160"/>
      </w:pPr>
      <w:r>
        <w:rPr>
          <w:i/>
          <w:iCs/>
          <w:color w:val="595959"/>
          <w:sz w:val="20"/>
          <w:szCs w:val="20"/>
        </w:rPr>
        <w:t xml:space="preserve">Thời gian trên chỉ mang tính tham khảo, cần điều chỉnh theo quy mô thực tế của đơn vị và phương án triển khai (tự xây dựng, thuê ngoài hay tùy chỉnh phần mềm có sẵn).</w:t>
      </w:r>
    </w:p>
    <w:p>
      <w:r>
        <w:br w:type="page"/>
      </w:r>
    </w:p>
    <w:p>
      <w:pPr>
        <w:pStyle w:val="Heading1"/>
        <w:spacing w:after="200" w:before="400"/>
      </w:pPr>
      <w:r>
        <w:rPr>
          <w:b/>
          <w:bCs/>
          <w:color w:val="1F3864"/>
        </w:rPr>
        <w:t xml:space="preserve">V. RỦI RO THƯỜNG GẶP VÀ BIỆN PHÁP PHÒNG NGỪA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426"/>
      </w:tblGrid>
      <w:tr>
        <w:trPr>
          <w:tblHeader/>
        </w:trPr>
        <w:tc>
          <w:tcPr>
            <w:tcW w:type="dxa" w:w="3600"/>
            <w:shd w:fill="1F3864" w:val="clear"/>
            <w:tcMar>
              <w:top w:type="dxa" w:w="80"/>
              <w:left w:type="dxa" w:w="100"/>
              <w:bottom w:type="dxa" w:w="80"/>
              <w:right w:type="dxa" w:w="100"/>
            </w:tcMar>
            <w:vAlign w:val="center"/>
          </w:tcPr>
          <w:p>
            <w:pPr>
              <w:jc w:val="center"/>
            </w:pPr>
            <w:r>
              <w:rPr>
                <w:b/>
                <w:bCs/>
                <w:color w:val="FFFFFF"/>
                <w:sz w:val="20"/>
                <w:szCs w:val="20"/>
              </w:rPr>
              <w:t xml:space="preserve">Rủi ro</w:t>
            </w:r>
          </w:p>
        </w:tc>
        <w:tc>
          <w:tcPr>
            <w:tcW w:type="dxa" w:w="5426"/>
            <w:shd w:fill="1F3864" w:val="clear"/>
            <w:tcMar>
              <w:top w:type="dxa" w:w="80"/>
              <w:left w:type="dxa" w:w="100"/>
              <w:bottom w:type="dxa" w:w="80"/>
              <w:right w:type="dxa" w:w="100"/>
            </w:tcMar>
            <w:vAlign w:val="center"/>
          </w:tcPr>
          <w:p>
            <w:pPr>
              <w:jc w:val="center"/>
            </w:pPr>
            <w:r>
              <w:rPr>
                <w:b/>
                <w:bCs/>
                <w:color w:val="FFFFFF"/>
                <w:sz w:val="20"/>
                <w:szCs w:val="20"/>
              </w:rPr>
              <w:t xml:space="preserve">Biện pháp phòng ngừa</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Dữ liệu cũ không đầy đủ, chưa chuẩn hóa</w:t>
            </w:r>
          </w:p>
        </w:tc>
        <w:tc>
          <w:tcPr>
            <w:tcW w:type="dxa" w:w="5426"/>
            <w:tcMar>
              <w:top w:type="dxa" w:w="80"/>
              <w:left w:type="dxa" w:w="100"/>
              <w:bottom w:type="dxa" w:w="80"/>
              <w:right w:type="dxa" w:w="100"/>
            </w:tcMar>
            <w:vAlign w:val="center"/>
          </w:tcPr>
          <w:p>
            <w:pPr>
              <w:jc w:val="left"/>
            </w:pPr>
            <w:r>
              <w:rPr>
                <w:b w:val="false"/>
                <w:bCs w:val="false"/>
                <w:color w:val="000000"/>
                <w:sz w:val="20"/>
                <w:szCs w:val="20"/>
              </w:rPr>
              <w:t xml:space="preserve">Làm sạch, chuẩn hóa dữ liệu trước khi chuyển đổi; xây dựng quy tắc đặt mã (chương trình, khóa, học viên) thống nhất ngay từ đầu</w:t>
            </w:r>
          </w:p>
        </w:tc>
      </w:tr>
      <w:tr>
        <w:tc>
          <w:tcPr>
            <w:tcW w:type="dxa" w:w="36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Cán bộ, giảng viên e ngại thay đổi thói quen làm việc</w:t>
            </w:r>
          </w:p>
        </w:tc>
        <w:tc>
          <w:tcPr>
            <w:tcW w:type="dxa" w:w="54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Tập huấn kỹ, tài liệu hướng dẫn dễ hiểu, hỗ trợ sát sao giai đoạn đầu, chọn "người dùng nòng cốt" ở mỗi đơn vị</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Yêu cầu nghiệp vụ thay đổi trong quá trình xây dựng</w:t>
            </w:r>
          </w:p>
        </w:tc>
        <w:tc>
          <w:tcPr>
            <w:tcW w:type="dxa" w:w="5426"/>
            <w:tcMar>
              <w:top w:type="dxa" w:w="80"/>
              <w:left w:type="dxa" w:w="100"/>
              <w:bottom w:type="dxa" w:w="80"/>
              <w:right w:type="dxa" w:w="100"/>
            </w:tcMar>
            <w:vAlign w:val="center"/>
          </w:tcPr>
          <w:p>
            <w:pPr>
              <w:jc w:val="left"/>
            </w:pPr>
            <w:r>
              <w:rPr>
                <w:b w:val="false"/>
                <w:bCs w:val="false"/>
                <w:color w:val="000000"/>
                <w:sz w:val="20"/>
                <w:szCs w:val="20"/>
              </w:rPr>
              <w:t xml:space="preserve">Chốt yêu cầu ở giai đoạn thiết kế, quản lý thay đổi (change request) chặt chẽ, ưu tiên module cốt lõi trước</w:t>
            </w:r>
          </w:p>
        </w:tc>
      </w:tr>
      <w:tr>
        <w:tc>
          <w:tcPr>
            <w:tcW w:type="dxa" w:w="36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Sai sót, thất thoát trong thu học phí; học viên khiếu nại đã nộp nhưng hệ thống chưa ghi nhận</w:t>
            </w:r>
          </w:p>
        </w:tc>
        <w:tc>
          <w:tcPr>
            <w:tcW w:type="dxa" w:w="54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Đối soát định kỳ giữa Cán bộ tài chính và hệ thống; lưu chứng từ/biên lai điện tử; phân quyền chặt chẽ cho thao tác xác nhận thanh toán</w:t>
            </w:r>
          </w:p>
        </w:tc>
      </w:tr>
      <w:tr>
        <w:tc>
          <w:tcPr>
            <w:tcW w:type="dxa" w:w="3600"/>
            <w:tcMar>
              <w:top w:type="dxa" w:w="80"/>
              <w:left w:type="dxa" w:w="100"/>
              <w:bottom w:type="dxa" w:w="80"/>
              <w:right w:type="dxa" w:w="100"/>
            </w:tcMar>
            <w:vAlign w:val="center"/>
          </w:tcPr>
          <w:p>
            <w:pPr>
              <w:jc w:val="left"/>
            </w:pPr>
            <w:r>
              <w:rPr>
                <w:b w:val="false"/>
                <w:bCs w:val="false"/>
                <w:color w:val="000000"/>
                <w:sz w:val="20"/>
                <w:szCs w:val="20"/>
              </w:rPr>
              <w:t xml:space="preserve">Rủi ro bảo mật, lộ thông tin học viên</w:t>
            </w:r>
          </w:p>
        </w:tc>
        <w:tc>
          <w:tcPr>
            <w:tcW w:type="dxa" w:w="5426"/>
            <w:tcMar>
              <w:top w:type="dxa" w:w="80"/>
              <w:left w:type="dxa" w:w="100"/>
              <w:bottom w:type="dxa" w:w="80"/>
              <w:right w:type="dxa" w:w="100"/>
            </w:tcMar>
            <w:vAlign w:val="center"/>
          </w:tcPr>
          <w:p>
            <w:pPr>
              <w:jc w:val="left"/>
            </w:pPr>
            <w:r>
              <w:rPr>
                <w:b w:val="false"/>
                <w:bCs w:val="false"/>
                <w:color w:val="000000"/>
                <w:sz w:val="20"/>
                <w:szCs w:val="20"/>
              </w:rPr>
              <w:t xml:space="preserve">Phân quyền chi tiết, mã hóa dữ liệu nhạy cảm, sao lưu và kiểm tra an ninh định kỳ</w:t>
            </w:r>
          </w:p>
        </w:tc>
      </w:tr>
      <w:tr>
        <w:tc>
          <w:tcPr>
            <w:tcW w:type="dxa" w:w="3600"/>
            <w:shd w:fill="DCE6F1" w:val="clear"/>
            <w:tcMar>
              <w:top w:type="dxa" w:w="80"/>
              <w:left w:type="dxa" w:w="100"/>
              <w:bottom w:type="dxa" w:w="80"/>
              <w:right w:type="dxa" w:w="100"/>
            </w:tcMar>
            <w:vAlign w:val="center"/>
          </w:tcPr>
          <w:p>
            <w:pPr>
              <w:jc w:val="left"/>
            </w:pPr>
            <w:r>
              <w:rPr>
                <w:b w:val="false"/>
                <w:bCs w:val="false"/>
                <w:color w:val="000000"/>
                <w:sz w:val="20"/>
                <w:szCs w:val="20"/>
              </w:rPr>
              <w:t xml:space="preserve">Hệ thống không cập nhật kịp quy định mới của Bộ/Sở Giáo dục và Đào tạo</w:t>
            </w:r>
          </w:p>
        </w:tc>
        <w:tc>
          <w:tcPr>
            <w:tcW w:type="dxa" w:w="5426"/>
            <w:shd w:fill="DCE6F1" w:val="clear"/>
            <w:tcMar>
              <w:top w:type="dxa" w:w="80"/>
              <w:left w:type="dxa" w:w="100"/>
              <w:bottom w:type="dxa" w:w="80"/>
              <w:right w:type="dxa" w:w="100"/>
            </w:tcMar>
            <w:vAlign w:val="center"/>
          </w:tcPr>
          <w:p>
            <w:pPr>
              <w:jc w:val="left"/>
            </w:pPr>
            <w:r>
              <w:rPr>
                <w:b w:val="false"/>
                <w:bCs w:val="false"/>
                <w:color w:val="000000"/>
                <w:sz w:val="20"/>
                <w:szCs w:val="20"/>
              </w:rPr>
              <w:t xml:space="preserve">Rà soát định kỳ căn cứ pháp lý; thiết kế hệ thống linh hoạt, cấu hình được để dễ cập nhật</w:t>
            </w:r>
          </w:p>
        </w:tc>
      </w:tr>
    </w:tbl>
    <w:p>
      <w:r>
        <w:br w:type="page"/>
      </w:r>
    </w:p>
    <w:p>
      <w:pPr>
        <w:pStyle w:val="Heading1"/>
        <w:spacing w:after="200" w:before="400"/>
      </w:pPr>
      <w:r>
        <w:rPr>
          <w:b/>
          <w:bCs/>
          <w:color w:val="1F3864"/>
        </w:rPr>
        <w:t xml:space="preserve">VI. CHECKLIST TRƯỚC KHI VẬN HÀNH CHÍNH THỨC</w:t>
      </w:r>
    </w:p>
    <w:p>
      <w:pPr>
        <w:pStyle w:val="ListParagraph"/>
        <w:numPr>
          <w:ilvl w:val="0"/>
          <w:numId w:val="2"/>
        </w:numPr>
        <w:spacing w:after="60"/>
      </w:pPr>
      <w:r>
        <w:t xml:space="preserve">Đã hoàn thành và phê duyệt tài liệu yêu cầu nghiệp vụ (BRD).</w:t>
      </w:r>
    </w:p>
    <w:p>
      <w:pPr>
        <w:pStyle w:val="ListParagraph"/>
        <w:numPr>
          <w:ilvl w:val="0"/>
          <w:numId w:val="2"/>
        </w:numPr>
        <w:spacing w:after="60"/>
      </w:pPr>
      <w:r>
        <w:t xml:space="preserve">Đã thiết kế và thống nhất toàn bộ quy trình nghiệp vụ với các đơn vị liên quan.</w:t>
      </w:r>
    </w:p>
    <w:p>
      <w:pPr>
        <w:pStyle w:val="ListParagraph"/>
        <w:numPr>
          <w:ilvl w:val="0"/>
          <w:numId w:val="2"/>
        </w:numPr>
        <w:spacing w:after="60"/>
      </w:pPr>
      <w:r>
        <w:t xml:space="preserve">Đã hoàn thành thiết kế dữ liệu và chức năng hệ thống.</w:t>
      </w:r>
    </w:p>
    <w:p>
      <w:pPr>
        <w:pStyle w:val="ListParagraph"/>
        <w:numPr>
          <w:ilvl w:val="0"/>
          <w:numId w:val="2"/>
        </w:numPr>
        <w:spacing w:after="60"/>
      </w:pPr>
      <w:r>
        <w:t xml:space="preserve">Hệ thống đã qua kiểm thử chức năng, bảo mật và UAT, không còn lỗi nghiêm trọng.</w:t>
      </w:r>
    </w:p>
    <w:p>
      <w:pPr>
        <w:pStyle w:val="ListParagraph"/>
        <w:numPr>
          <w:ilvl w:val="0"/>
          <w:numId w:val="2"/>
        </w:numPr>
        <w:spacing w:after="60"/>
      </w:pPr>
      <w:r>
        <w:t xml:space="preserve">Dữ liệu chương trình/khóa/học viên/học phí hiện có đã được chuyển đổi và đối chiếu chính xác.</w:t>
      </w:r>
    </w:p>
    <w:p>
      <w:pPr>
        <w:pStyle w:val="ListParagraph"/>
        <w:numPr>
          <w:ilvl w:val="0"/>
          <w:numId w:val="2"/>
        </w:numPr>
        <w:spacing w:after="60"/>
      </w:pPr>
      <w:r>
        <w:t xml:space="preserve">Đã đối soát đầy đủ số liệu thu học phí giữa hệ thống cũ và hệ thống mới trước khi go-live.</w:t>
      </w:r>
    </w:p>
    <w:p>
      <w:pPr>
        <w:pStyle w:val="ListParagraph"/>
        <w:numPr>
          <w:ilvl w:val="0"/>
          <w:numId w:val="2"/>
        </w:numPr>
        <w:spacing w:after="60"/>
      </w:pPr>
      <w:r>
        <w:t xml:space="preserve">Tài liệu hướng dẫn sử dụng và kế hoạch tập huấn đã sẵn sàng.</w:t>
      </w:r>
    </w:p>
    <w:p>
      <w:pPr>
        <w:pStyle w:val="ListParagraph"/>
        <w:numPr>
          <w:ilvl w:val="0"/>
          <w:numId w:val="2"/>
        </w:numPr>
        <w:spacing w:after="60"/>
      </w:pPr>
      <w:r>
        <w:t xml:space="preserve">Đã phân quyền tài khoản đầy đủ cho từng vai trò, bao gồm Cán bộ tài chính.</w:t>
      </w:r>
    </w:p>
    <w:p>
      <w:pPr>
        <w:pStyle w:val="ListParagraph"/>
        <w:numPr>
          <w:ilvl w:val="0"/>
          <w:numId w:val="2"/>
        </w:numPr>
        <w:spacing w:after="60"/>
      </w:pPr>
      <w:r>
        <w:t xml:space="preserve">Có đầu mối hỗ trợ kỹ thuật và quy trình xử lý sự cố sau go-live.</w:t>
      </w:r>
    </w:p>
    <w:p>
      <w:pPr>
        <w:pStyle w:val="ListParagraph"/>
        <w:numPr>
          <w:ilvl w:val="0"/>
          <w:numId w:val="2"/>
        </w:numPr>
        <w:spacing w:after="60"/>
      </w:pPr>
      <w:r>
        <w:t xml:space="preserve">Có kế hoạch sao lưu dữ liệu định kỳ.</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hệ thống nghiệp vụ quản lý đào tạo bồi dưỡng</dc:title>
  <dc:creator>Claude</dc:creator>
  <cp:lastModifiedBy>Un-named</cp:lastModifiedBy>
  <cp:revision>1</cp:revision>
  <dcterms:created xsi:type="dcterms:W3CDTF">2026-09-06T08:29:04.715Z</dcterms:created>
  <dcterms:modified xsi:type="dcterms:W3CDTF">2026-09-06T08:29:04.725Z</dcterms:modified>
</cp:coreProperties>
</file>

<file path=docProps/custom.xml><?xml version="1.0" encoding="utf-8"?>
<Properties xmlns="http://schemas.openxmlformats.org/officeDocument/2006/custom-properties" xmlns:vt="http://schemas.openxmlformats.org/officeDocument/2006/docPropsVTypes"/>
</file>