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BA" w:rsidRDefault="002F1ABA" w:rsidP="002F1ABA">
      <w:pPr>
        <w:pStyle w:val="Heading1"/>
      </w:pPr>
      <w:bookmarkStart w:id="0" w:name="_Toc503874282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:rsidR="005B399F" w:rsidRDefault="005B399F" w:rsidP="005B399F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0"/>
      <w:proofErr w:type="spellEnd"/>
    </w:p>
    <w:p w:rsidR="002F1ABA" w:rsidRDefault="00FA4B0D" w:rsidP="002F1ABA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Gimbal</w:t>
      </w:r>
    </w:p>
    <w:p w:rsidR="00F759FC" w:rsidRDefault="00F759FC" w:rsidP="00F759FC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 w:rsidR="00F1616A">
        <w:t xml:space="preserve">, </w:t>
      </w:r>
      <w:proofErr w:type="spellStart"/>
      <w:r w:rsidR="00F1616A">
        <w:t>sản</w:t>
      </w:r>
      <w:proofErr w:type="spellEnd"/>
      <w:r w:rsidR="00F1616A">
        <w:t xml:space="preserve"> </w:t>
      </w:r>
      <w:proofErr w:type="spellStart"/>
      <w:r w:rsidR="00F1616A">
        <w:t>phẩm</w:t>
      </w:r>
      <w:proofErr w:type="spellEnd"/>
      <w:r w:rsidR="00F1616A">
        <w:t xml:space="preserve"> </w:t>
      </w:r>
      <w:proofErr w:type="spellStart"/>
      <w:r w:rsidR="00F1616A">
        <w:t>thương</w:t>
      </w:r>
      <w:proofErr w:type="spellEnd"/>
      <w:r w:rsidR="00F1616A">
        <w:t xml:space="preserve"> </w:t>
      </w:r>
      <w:proofErr w:type="spellStart"/>
      <w:r w:rsidR="00F1616A">
        <w:t>mại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F759FC" w:rsidRDefault="00772B2C" w:rsidP="00F759FC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</w:t>
      </w:r>
      <w:r w:rsidR="00E041E4">
        <w:t>ơ</w:t>
      </w:r>
      <w:proofErr w:type="spellEnd"/>
      <w:r w:rsidR="00E041E4">
        <w:t xml:space="preserve"> </w:t>
      </w:r>
      <w:proofErr w:type="spellStart"/>
      <w:r w:rsidR="00E041E4">
        <w:t>cấu</w:t>
      </w:r>
      <w:proofErr w:type="spellEnd"/>
      <w:r w:rsidR="00E041E4">
        <w:t xml:space="preserve"> </w:t>
      </w:r>
      <w:proofErr w:type="spellStart"/>
      <w:r w:rsidR="00E041E4">
        <w:t>cơ</w:t>
      </w:r>
      <w:proofErr w:type="spellEnd"/>
      <w:r w:rsidR="00E041E4">
        <w:t xml:space="preserve"> </w:t>
      </w:r>
      <w:proofErr w:type="spellStart"/>
      <w:r w:rsidR="00E041E4">
        <w:t>khí</w:t>
      </w:r>
      <w:proofErr w:type="spellEnd"/>
    </w:p>
    <w:p w:rsidR="00772B2C" w:rsidRDefault="00076B05" w:rsidP="00772B2C">
      <w:pPr>
        <w:pStyle w:val="Heading4"/>
      </w:pP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do:</w:t>
      </w:r>
    </w:p>
    <w:p w:rsidR="00076B05" w:rsidRPr="00076B05" w:rsidRDefault="00076B05" w:rsidP="00076B05">
      <w:r>
        <w:t>FY WG Lite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FEIYUTECH,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FY WG Lite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…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:rsidR="00516D66" w:rsidRDefault="00516D66" w:rsidP="00516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812"/>
      </w:tblGrid>
      <w:tr w:rsidR="006939E0" w:rsidTr="006939E0">
        <w:trPr>
          <w:trHeight w:val="3158"/>
        </w:trPr>
        <w:tc>
          <w:tcPr>
            <w:tcW w:w="3397" w:type="dxa"/>
          </w:tcPr>
          <w:p w:rsidR="006939E0" w:rsidRDefault="006939E0" w:rsidP="006939E0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B3AEDA8" wp14:editId="6EBC0378">
                  <wp:extent cx="1438275" cy="14382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YWG_LIT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9E0" w:rsidRDefault="006939E0" w:rsidP="006939E0">
            <w:pPr>
              <w:pStyle w:val="Caption"/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Hình \* ARABIC \s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gimbal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 FY WG Lite</w:t>
            </w:r>
          </w:p>
        </w:tc>
        <w:tc>
          <w:tcPr>
            <w:tcW w:w="5812" w:type="dxa"/>
          </w:tcPr>
          <w:p w:rsidR="006939E0" w:rsidRDefault="006939E0" w:rsidP="00516D66">
            <w:pPr>
              <w:ind w:firstLine="0"/>
            </w:pPr>
          </w:p>
        </w:tc>
      </w:tr>
    </w:tbl>
    <w:p w:rsidR="006939E0" w:rsidRDefault="006939E0" w:rsidP="006939E0">
      <w:pPr>
        <w:pStyle w:val="Caption"/>
        <w:keepNext/>
        <w:ind w:firstLine="720"/>
      </w:pPr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FY WG Lite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977"/>
        <w:gridCol w:w="1050"/>
      </w:tblGrid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  <w:r>
              <w:t>/s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107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r>
              <w:t>g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60×94.5×53.5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r>
              <w:t>mm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</w:t>
            </w:r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r>
              <w:t>DOF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0.01÷0.05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0.1÷0.5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</w:tbl>
    <w:p w:rsidR="00516D66" w:rsidRPr="00516D66" w:rsidRDefault="008A3A5D" w:rsidP="008A3A5D"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772B2C" w:rsidRDefault="00BC3547" w:rsidP="00772B2C">
      <w:pPr>
        <w:pStyle w:val="Heading4"/>
      </w:pP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do:</w:t>
      </w:r>
    </w:p>
    <w:p w:rsidR="00BC3547" w:rsidRPr="00BC3547" w:rsidRDefault="00BC3547" w:rsidP="00BC3547">
      <w:r>
        <w:t xml:space="preserve">Tarot </w:t>
      </w:r>
      <w:proofErr w:type="spellStart"/>
      <w:r>
        <w:t>Gopro</w:t>
      </w:r>
      <w:proofErr w:type="spellEnd"/>
      <w:r>
        <w:t xml:space="preserve"> 2 Axis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868CB">
        <w:t>thiết</w:t>
      </w:r>
      <w:proofErr w:type="spellEnd"/>
      <w:r w:rsidR="000868CB">
        <w:t xml:space="preserve"> </w:t>
      </w:r>
      <w:proofErr w:type="spellStart"/>
      <w:r w:rsidR="000868CB">
        <w:t>bị</w:t>
      </w:r>
      <w:proofErr w:type="spellEnd"/>
      <w:r w:rsidR="000868CB">
        <w:t xml:space="preserve"> bay </w:t>
      </w:r>
      <w:proofErr w:type="spellStart"/>
      <w:r w:rsidR="000868CB">
        <w:t>không</w:t>
      </w:r>
      <w:proofErr w:type="spellEnd"/>
      <w:r w:rsidR="000868CB">
        <w:t xml:space="preserve"> </w:t>
      </w:r>
      <w:proofErr w:type="spellStart"/>
      <w:r w:rsidR="000868CB">
        <w:t>người</w:t>
      </w:r>
      <w:proofErr w:type="spellEnd"/>
      <w:r w:rsidR="000868CB">
        <w:t xml:space="preserve"> </w:t>
      </w:r>
      <w:proofErr w:type="spellStart"/>
      <w:r w:rsidR="000868CB">
        <w:t>lái</w:t>
      </w:r>
      <w:proofErr w:type="spellEnd"/>
      <w:r w:rsidR="000868CB">
        <w:t>.</w:t>
      </w:r>
    </w:p>
    <w:p w:rsidR="00BC3547" w:rsidRDefault="00BC3547" w:rsidP="00BC3547">
      <w:r>
        <w:rPr>
          <w:noProof/>
        </w:rPr>
        <w:drawing>
          <wp:inline distT="0" distB="0" distL="0" distR="0">
            <wp:extent cx="1342017" cy="1496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rot-gopro-2-axis-stabilized-brushless-gimbal-1-lar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389" cy="15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977"/>
        <w:gridCol w:w="1050"/>
      </w:tblGrid>
      <w:tr w:rsidR="00BC3547" w:rsidTr="000868CB">
        <w:tc>
          <w:tcPr>
            <w:tcW w:w="4673" w:type="dxa"/>
          </w:tcPr>
          <w:p w:rsidR="00BC3547" w:rsidRDefault="00BC3547" w:rsidP="0055623B">
            <w:pPr>
              <w:ind w:firstLine="0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 w:rsidR="000868CB">
              <w:t xml:space="preserve"> </w:t>
            </w:r>
            <w:proofErr w:type="spellStart"/>
            <w:r w:rsidR="000868CB">
              <w:t>góc</w:t>
            </w:r>
            <w:proofErr w:type="spellEnd"/>
            <w:r w:rsidR="000868CB">
              <w:t xml:space="preserve"> Tilt</w:t>
            </w:r>
          </w:p>
        </w:tc>
        <w:tc>
          <w:tcPr>
            <w:tcW w:w="2977" w:type="dxa"/>
          </w:tcPr>
          <w:p w:rsidR="00BC3547" w:rsidRDefault="000868CB" w:rsidP="000868C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-135÷90</m:t>
                </m:r>
              </m:oMath>
            </m:oMathPara>
          </w:p>
        </w:tc>
        <w:tc>
          <w:tcPr>
            <w:tcW w:w="1050" w:type="dxa"/>
          </w:tcPr>
          <w:p w:rsidR="00BC3547" w:rsidRDefault="00BC3547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  <w:tr w:rsidR="000868CB" w:rsidTr="000868CB">
        <w:tc>
          <w:tcPr>
            <w:tcW w:w="4673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Roll</w:t>
            </w:r>
          </w:p>
        </w:tc>
        <w:tc>
          <w:tcPr>
            <w:tcW w:w="2977" w:type="dxa"/>
          </w:tcPr>
          <w:p w:rsidR="000868CB" w:rsidRDefault="000868CB" w:rsidP="000868C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-45÷45</m:t>
                </m:r>
              </m:oMath>
            </m:oMathPara>
          </w:p>
        </w:tc>
        <w:tc>
          <w:tcPr>
            <w:tcW w:w="1050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  <w:tr w:rsidR="000868CB" w:rsidTr="000868CB">
        <w:tc>
          <w:tcPr>
            <w:tcW w:w="4673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</w:p>
        </w:tc>
        <w:tc>
          <w:tcPr>
            <w:tcW w:w="2977" w:type="dxa"/>
          </w:tcPr>
          <w:p w:rsidR="000868CB" w:rsidRDefault="000868CB" w:rsidP="000868C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2000</m:t>
                </m:r>
              </m:oMath>
            </m:oMathPara>
          </w:p>
        </w:tc>
        <w:tc>
          <w:tcPr>
            <w:tcW w:w="1050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Deg</w:t>
            </w:r>
            <w:proofErr w:type="spellEnd"/>
            <w:r>
              <w:t>/s</w:t>
            </w:r>
          </w:p>
        </w:tc>
      </w:tr>
      <w:tr w:rsidR="000868CB" w:rsidTr="000868CB">
        <w:tc>
          <w:tcPr>
            <w:tcW w:w="4673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977" w:type="dxa"/>
          </w:tcPr>
          <w:p w:rsidR="000868CB" w:rsidRDefault="000868CB" w:rsidP="000868C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  <w:tc>
          <w:tcPr>
            <w:tcW w:w="1050" w:type="dxa"/>
          </w:tcPr>
          <w:p w:rsidR="000868CB" w:rsidRDefault="000868CB" w:rsidP="000868CB">
            <w:pPr>
              <w:ind w:firstLine="0"/>
            </w:pPr>
            <w:r>
              <w:t>g</w:t>
            </w:r>
          </w:p>
        </w:tc>
      </w:tr>
      <w:tr w:rsidR="000868CB" w:rsidTr="000868CB">
        <w:tc>
          <w:tcPr>
            <w:tcW w:w="4673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  <w:tc>
          <w:tcPr>
            <w:tcW w:w="2977" w:type="dxa"/>
          </w:tcPr>
          <w:p w:rsidR="000868CB" w:rsidRDefault="000868CB" w:rsidP="000868CB">
            <w:pPr>
              <w:ind w:firstLine="0"/>
            </w:pPr>
            <w:sdt>
              <w:sdtPr>
                <w:rPr>
                  <w:rFonts w:ascii="Cambria Math" w:hAnsi="Cambria Math"/>
                  <w:i/>
                </w:rPr>
                <w:id w:val="1973487835"/>
                <w:placeholder>
                  <w:docPart w:val="952899E386F0462AB6E8A2297C06F96E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1050" w:type="dxa"/>
          </w:tcPr>
          <w:p w:rsidR="000868CB" w:rsidRDefault="000868CB" w:rsidP="000868CB">
            <w:pPr>
              <w:ind w:firstLine="0"/>
            </w:pPr>
            <w:r>
              <w:t>mm</w:t>
            </w:r>
          </w:p>
        </w:tc>
      </w:tr>
      <w:tr w:rsidR="000868CB" w:rsidTr="000868CB">
        <w:tc>
          <w:tcPr>
            <w:tcW w:w="4673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</w:t>
            </w:r>
          </w:p>
        </w:tc>
        <w:tc>
          <w:tcPr>
            <w:tcW w:w="2977" w:type="dxa"/>
          </w:tcPr>
          <w:p w:rsidR="000868CB" w:rsidRDefault="000868CB" w:rsidP="000868C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50" w:type="dxa"/>
          </w:tcPr>
          <w:p w:rsidR="000868CB" w:rsidRDefault="000868CB" w:rsidP="000868CB">
            <w:pPr>
              <w:ind w:firstLine="0"/>
            </w:pPr>
            <w:r>
              <w:t>DOF</w:t>
            </w:r>
          </w:p>
        </w:tc>
      </w:tr>
      <w:tr w:rsidR="000868CB" w:rsidTr="000868CB">
        <w:tc>
          <w:tcPr>
            <w:tcW w:w="4673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977" w:type="dxa"/>
          </w:tcPr>
          <w:p w:rsidR="000868CB" w:rsidRDefault="000868CB" w:rsidP="000868C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050" w:type="dxa"/>
          </w:tcPr>
          <w:p w:rsidR="000868CB" w:rsidRDefault="000868CB" w:rsidP="000868C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</w:tbl>
    <w:p w:rsidR="00BC3547" w:rsidRPr="00BC3547" w:rsidRDefault="008A3A5D" w:rsidP="00BC3547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E041E4" w:rsidRDefault="00E041E4" w:rsidP="002819A3">
      <w:pPr>
        <w:pStyle w:val="Heading4"/>
      </w:pPr>
      <w:proofErr w:type="spellStart"/>
      <w:r>
        <w:t>Cơ</w:t>
      </w:r>
      <w:proofErr w:type="spellEnd"/>
      <w:r>
        <w:t xml:space="preserve"> </w:t>
      </w:r>
      <w:proofErr w:type="spellStart"/>
      <w:r>
        <w:t>cấ</w:t>
      </w:r>
      <w:r w:rsidR="00FE42B2">
        <w:t>u</w:t>
      </w:r>
      <w:proofErr w:type="spellEnd"/>
      <w:r w:rsidR="00FE42B2">
        <w:t xml:space="preserve"> </w:t>
      </w:r>
      <w:proofErr w:type="spellStart"/>
      <w:r w:rsidR="00FE42B2">
        <w:t>cơ</w:t>
      </w:r>
      <w:proofErr w:type="spellEnd"/>
      <w:r w:rsidR="00FE42B2">
        <w:t xml:space="preserve"> </w:t>
      </w:r>
      <w:proofErr w:type="spellStart"/>
      <w:r w:rsidR="00FE42B2">
        <w:t>khí</w:t>
      </w:r>
      <w:proofErr w:type="spellEnd"/>
      <w:r w:rsidR="00FE42B2">
        <w:t xml:space="preserve"> </w:t>
      </w:r>
      <w:proofErr w:type="spellStart"/>
      <w:r w:rsidR="00FE42B2">
        <w:t>ba</w:t>
      </w:r>
      <w:proofErr w:type="spellEnd"/>
      <w:r w:rsidR="00FE42B2">
        <w:t xml:space="preserve"> </w:t>
      </w:r>
      <w:proofErr w:type="spellStart"/>
      <w:r w:rsidR="00FE42B2">
        <w:t>bậc</w:t>
      </w:r>
      <w:proofErr w:type="spellEnd"/>
      <w:r w:rsidR="00FE42B2">
        <w:t xml:space="preserve"> </w:t>
      </w:r>
      <w:proofErr w:type="spellStart"/>
      <w:r w:rsidR="00FE42B2">
        <w:t>tự</w:t>
      </w:r>
      <w:proofErr w:type="spellEnd"/>
      <w:r w:rsidR="00FE42B2">
        <w:t xml:space="preserve"> do</w:t>
      </w:r>
      <w:r>
        <w:t>:</w:t>
      </w:r>
    </w:p>
    <w:p w:rsidR="00FE42B2" w:rsidRDefault="00FE42B2" w:rsidP="00FE42B2">
      <w:r>
        <w:t xml:space="preserve">G4S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t>FEIYUTECH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do.</w:t>
      </w:r>
    </w:p>
    <w:p w:rsidR="00FE42B2" w:rsidRDefault="00FE42B2" w:rsidP="00FE42B2">
      <w:r>
        <w:rPr>
          <w:noProof/>
        </w:rPr>
        <w:lastRenderedPageBreak/>
        <w:drawing>
          <wp:inline distT="0" distB="0" distL="0" distR="0">
            <wp:extent cx="1847850" cy="1847850"/>
            <wp:effectExtent l="0" t="0" r="0" b="0"/>
            <wp:docPr id="12" name="Picture 12" descr="D:\BIG project\thesis_gimbal\thesis\Tổng Quan\ref\p\g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IG project\thesis_gimbal\thesis\Tổng Quan\ref\p\g4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977"/>
        <w:gridCol w:w="1050"/>
      </w:tblGrid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Tilt</w:t>
            </w:r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185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Roll</w:t>
            </w:r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Pan</w:t>
            </w:r>
          </w:p>
        </w:tc>
        <w:tc>
          <w:tcPr>
            <w:tcW w:w="2977" w:type="dxa"/>
          </w:tcPr>
          <w:p w:rsidR="00FE42B2" w:rsidRDefault="00FE42B2" w:rsidP="00FE42B2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360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Tilt</w:t>
            </w:r>
          </w:p>
        </w:tc>
        <w:tc>
          <w:tcPr>
            <w:tcW w:w="2977" w:type="dxa"/>
          </w:tcPr>
          <w:p w:rsidR="00FE42B2" w:rsidRDefault="00FE42B2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  <w:r>
              <w:t>/s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 w:rsidR="008A3A5D">
              <w:t xml:space="preserve"> Roll</w:t>
            </w:r>
          </w:p>
        </w:tc>
        <w:tc>
          <w:tcPr>
            <w:tcW w:w="2977" w:type="dxa"/>
          </w:tcPr>
          <w:p w:rsidR="00FE42B2" w:rsidRDefault="008A3A5D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  <w:r>
              <w:t>/s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 w:rsidR="008A3A5D">
              <w:t xml:space="preserve"> Pan</w:t>
            </w:r>
          </w:p>
        </w:tc>
        <w:tc>
          <w:tcPr>
            <w:tcW w:w="2977" w:type="dxa"/>
          </w:tcPr>
          <w:p w:rsidR="00FE42B2" w:rsidRDefault="008A3A5D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  <w:r>
              <w:t>/s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977" w:type="dxa"/>
          </w:tcPr>
          <w:p w:rsidR="00FE42B2" w:rsidRDefault="008A3A5D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4200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r>
              <w:t>g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  <w:tc>
          <w:tcPr>
            <w:tcW w:w="2977" w:type="dxa"/>
          </w:tcPr>
          <w:p w:rsidR="00FE42B2" w:rsidRDefault="008A3A5D" w:rsidP="008A3A5D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620×280÷380×500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r>
              <w:t>mm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</w:t>
            </w:r>
          </w:p>
        </w:tc>
        <w:tc>
          <w:tcPr>
            <w:tcW w:w="2977" w:type="dxa"/>
          </w:tcPr>
          <w:p w:rsidR="00FE42B2" w:rsidRDefault="008A3A5D" w:rsidP="008A3A5D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r>
              <w:t>DOF</w:t>
            </w:r>
          </w:p>
        </w:tc>
      </w:tr>
      <w:tr w:rsidR="00FE42B2" w:rsidTr="0055623B">
        <w:tc>
          <w:tcPr>
            <w:tcW w:w="4673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r w:rsidR="008A3A5D">
              <w:t>(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 w:rsidR="008A3A5D">
              <w:t>)</w:t>
            </w:r>
          </w:p>
        </w:tc>
        <w:tc>
          <w:tcPr>
            <w:tcW w:w="2977" w:type="dxa"/>
          </w:tcPr>
          <w:p w:rsidR="00FE42B2" w:rsidRDefault="008A3A5D" w:rsidP="0055623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  <w:tc>
          <w:tcPr>
            <w:tcW w:w="1050" w:type="dxa"/>
          </w:tcPr>
          <w:p w:rsidR="00FE42B2" w:rsidRDefault="00FE42B2" w:rsidP="0055623B">
            <w:pPr>
              <w:ind w:firstLine="0"/>
            </w:pPr>
            <w:proofErr w:type="spellStart"/>
            <w:r>
              <w:t>Deg</w:t>
            </w:r>
            <w:proofErr w:type="spellEnd"/>
          </w:p>
        </w:tc>
      </w:tr>
    </w:tbl>
    <w:p w:rsidR="00FE42B2" w:rsidRPr="00FE42B2" w:rsidRDefault="008A3A5D" w:rsidP="00FE42B2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E041E4" w:rsidRDefault="00E041E4" w:rsidP="00E041E4">
      <w:pPr>
        <w:pStyle w:val="Heading4"/>
      </w:pP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 w:rsidR="008A3A5D">
        <w:t>cơ</w:t>
      </w:r>
      <w:proofErr w:type="spellEnd"/>
      <w:r w:rsidR="008A3A5D">
        <w:t xml:space="preserve"> </w:t>
      </w:r>
      <w:proofErr w:type="spellStart"/>
      <w:r w:rsidR="008A3A5D">
        <w:t>khí</w:t>
      </w:r>
      <w:proofErr w:type="spellEnd"/>
      <w:r w:rsidR="008A3A5D">
        <w:t xml:space="preserve"> </w:t>
      </w:r>
      <w:proofErr w:type="spellStart"/>
      <w:r w:rsidR="008A3A5D">
        <w:t>hỗ</w:t>
      </w:r>
      <w:proofErr w:type="spellEnd"/>
      <w:r w:rsidR="008A3A5D">
        <w:t xml:space="preserve"> </w:t>
      </w:r>
      <w:proofErr w:type="spellStart"/>
      <w:r w:rsidR="008A3A5D">
        <w:t>trợ</w:t>
      </w:r>
      <w:proofErr w:type="spellEnd"/>
      <w:r w:rsidR="008A3A5D">
        <w:t xml:space="preserve"> </w:t>
      </w:r>
      <w:proofErr w:type="spellStart"/>
      <w:r w:rsidR="008A3A5D">
        <w:t>giảm</w:t>
      </w:r>
      <w:proofErr w:type="spellEnd"/>
      <w:r w:rsidR="008A3A5D">
        <w:t xml:space="preserve"> </w:t>
      </w:r>
      <w:proofErr w:type="spellStart"/>
      <w:r w:rsidR="008A3A5D">
        <w:t>chấn</w:t>
      </w:r>
      <w:proofErr w:type="spellEnd"/>
      <w:r w:rsidR="008A3A5D">
        <w:t xml:space="preserve"> </w:t>
      </w:r>
      <w:proofErr w:type="spellStart"/>
      <w:r w:rsidR="008A3A5D">
        <w:t>phương</w:t>
      </w:r>
      <w:proofErr w:type="spellEnd"/>
      <w:r w:rsidR="008A3A5D">
        <w:t xml:space="preserve"> </w:t>
      </w:r>
      <w:proofErr w:type="spellStart"/>
      <w:r w:rsidR="008A3A5D">
        <w:t>thẳng</w:t>
      </w:r>
      <w:proofErr w:type="spellEnd"/>
      <w:r w:rsidR="008A3A5D">
        <w:t xml:space="preserve"> </w:t>
      </w:r>
      <w:proofErr w:type="spellStart"/>
      <w:r w:rsidR="008A3A5D">
        <w:t>đứng</w:t>
      </w:r>
      <w:proofErr w:type="spellEnd"/>
      <w:r w:rsidR="008A3A5D">
        <w:t xml:space="preserve"> </w:t>
      </w:r>
      <w:proofErr w:type="spellStart"/>
      <w:r w:rsidR="008A3A5D">
        <w:t>và</w:t>
      </w:r>
      <w:proofErr w:type="spellEnd"/>
      <w:r w:rsidR="008A3A5D">
        <w:t xml:space="preserve"> </w:t>
      </w:r>
      <w:proofErr w:type="spellStart"/>
      <w:r w:rsidR="008A3A5D">
        <w:t>phương</w:t>
      </w:r>
      <w:proofErr w:type="spellEnd"/>
      <w:r w:rsidR="008A3A5D">
        <w:t xml:space="preserve"> </w:t>
      </w:r>
      <w:proofErr w:type="spellStart"/>
      <w:r w:rsidR="008A3A5D">
        <w:t>ngang</w:t>
      </w:r>
      <w:proofErr w:type="spellEnd"/>
    </w:p>
    <w:p w:rsidR="008A3A5D" w:rsidRDefault="008A3A5D" w:rsidP="008A3A5D"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gimbal,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gimbal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them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xóc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gimbal 4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gimbal 5 </w:t>
      </w:r>
      <w:proofErr w:type="spellStart"/>
      <w:r>
        <w:t>trục</w:t>
      </w:r>
      <w:proofErr w:type="spellEnd"/>
      <w:r>
        <w:t>.</w:t>
      </w:r>
    </w:p>
    <w:p w:rsidR="008A3A5D" w:rsidRDefault="008A3A5D" w:rsidP="008A3A5D">
      <w:r>
        <w:rPr>
          <w:noProof/>
        </w:rPr>
        <w:lastRenderedPageBreak/>
        <w:drawing>
          <wp:inline distT="0" distB="0" distL="0" distR="0">
            <wp:extent cx="1829588" cy="246999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89" cy="24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5D" w:rsidRDefault="008A3A5D" w:rsidP="008A3A5D"/>
    <w:p w:rsidR="00EE3AB3" w:rsidRDefault="00EE3AB3" w:rsidP="008A3A5D"/>
    <w:p w:rsidR="006939E0" w:rsidRPr="008A3A5D" w:rsidRDefault="006939E0" w:rsidP="008A3A5D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AA3B0F" w:rsidRDefault="00772B2C" w:rsidP="00AA3B0F">
      <w:pPr>
        <w:pStyle w:val="Heading3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 w:rsidR="00EE3AB3">
        <w:t>bộ</w:t>
      </w:r>
      <w:proofErr w:type="spellEnd"/>
      <w:r w:rsidR="00AA3B0F">
        <w:t xml:space="preserve"> </w:t>
      </w:r>
      <w:proofErr w:type="spellStart"/>
      <w:r w:rsidR="00AA3B0F">
        <w:t>điều</w:t>
      </w:r>
      <w:proofErr w:type="spellEnd"/>
      <w:r w:rsidR="00AA3B0F">
        <w:t xml:space="preserve"> </w:t>
      </w:r>
      <w:proofErr w:type="spellStart"/>
      <w:r w:rsidR="00AA3B0F">
        <w:t>khiển</w:t>
      </w:r>
      <w:proofErr w:type="spellEnd"/>
    </w:p>
    <w:p w:rsidR="00EE3AB3" w:rsidRDefault="00EE3AB3" w:rsidP="00EE3AB3">
      <w:pPr>
        <w:pStyle w:val="Heading4"/>
      </w:pP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PID (</w:t>
      </w:r>
      <w:r w:rsidRPr="00EE3AB3">
        <w:t>proportional–integral–derivative</w:t>
      </w:r>
      <w:r>
        <w:t>)</w:t>
      </w:r>
    </w:p>
    <w:p w:rsidR="001F3357" w:rsidRPr="001F3357" w:rsidRDefault="001F3357" w:rsidP="001F3357">
      <w:pPr>
        <w:ind w:firstLine="0"/>
        <w:jc w:val="left"/>
      </w:pPr>
      <w:r>
        <w:rPr>
          <w:noProof/>
        </w:rPr>
        <w:drawing>
          <wp:inline distT="0" distB="0" distL="0" distR="0">
            <wp:extent cx="5801535" cy="445832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F0A8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B3" w:rsidRDefault="00EE3AB3" w:rsidP="00EE3AB3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1F3357" w:rsidRDefault="001F3357" w:rsidP="001F3357">
      <w:pPr>
        <w:pStyle w:val="Heading4"/>
      </w:pP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Fuzzy</w:t>
      </w:r>
    </w:p>
    <w:p w:rsidR="001F3357" w:rsidRDefault="002E538E" w:rsidP="002E538E">
      <w:pPr>
        <w:ind w:firstLine="0"/>
      </w:pPr>
      <w:r>
        <w:rPr>
          <w:noProof/>
        </w:rPr>
        <w:drawing>
          <wp:inline distT="0" distB="0" distL="0" distR="0">
            <wp:extent cx="4296375" cy="135273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F0874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8E" w:rsidRDefault="002E538E" w:rsidP="002E538E">
      <w:pPr>
        <w:pStyle w:val="Heading4"/>
      </w:pPr>
      <w:proofErr w:type="spellStart"/>
      <w:r>
        <w:lastRenderedPageBreak/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Cascade</w:t>
      </w:r>
    </w:p>
    <w:p w:rsidR="002E538E" w:rsidRDefault="00716DED" w:rsidP="002E538E">
      <w:pPr>
        <w:ind w:firstLine="0"/>
        <w:jc w:val="left"/>
      </w:pPr>
      <w:r>
        <w:rPr>
          <w:noProof/>
        </w:rPr>
        <w:drawing>
          <wp:inline distT="0" distB="0" distL="0" distR="0">
            <wp:extent cx="4562475" cy="427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F07FC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2594" r="1783" b="7797"/>
                    <a:stretch/>
                  </pic:blipFill>
                  <pic:spPr bwMode="auto">
                    <a:xfrm>
                      <a:off x="0" y="0"/>
                      <a:ext cx="4562512" cy="427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DED" w:rsidRPr="002E538E" w:rsidRDefault="00716DED" w:rsidP="002E538E">
      <w:pPr>
        <w:ind w:firstLine="0"/>
        <w:jc w:val="left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AA3B0F" w:rsidRDefault="00772B2C" w:rsidP="00AA3B0F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</w:t>
      </w:r>
      <w:r w:rsidR="00AA3B0F">
        <w:t>ệ</w:t>
      </w:r>
      <w:proofErr w:type="spellEnd"/>
      <w:r w:rsidR="00AA3B0F">
        <w:t xml:space="preserve"> </w:t>
      </w:r>
      <w:proofErr w:type="spellStart"/>
      <w:r w:rsidR="00AA3B0F">
        <w:t>thống</w:t>
      </w:r>
      <w:proofErr w:type="spellEnd"/>
      <w:r w:rsidR="00AA3B0F">
        <w:t xml:space="preserve"> </w:t>
      </w:r>
      <w:proofErr w:type="spellStart"/>
      <w:r w:rsidR="00AA3B0F">
        <w:t>điện</w:t>
      </w:r>
      <w:proofErr w:type="spellEnd"/>
    </w:p>
    <w:p w:rsidR="00F1616A" w:rsidRPr="00F1616A" w:rsidRDefault="00772B2C" w:rsidP="00F1616A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</w:t>
      </w:r>
      <w:r w:rsidR="00AA3B0F">
        <w:t>ảm</w:t>
      </w:r>
      <w:proofErr w:type="spellEnd"/>
      <w:r w:rsidR="00AA3B0F">
        <w:t xml:space="preserve"> </w:t>
      </w:r>
      <w:proofErr w:type="spellStart"/>
      <w:r w:rsidR="00AA3B0F">
        <w:t>biến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A669D" w:rsidRDefault="000A669D" w:rsidP="000A669D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 w:rsidR="00F1616A">
        <w:t xml:space="preserve">, </w:t>
      </w:r>
      <w:proofErr w:type="spellStart"/>
      <w:r w:rsidR="00F1616A">
        <w:t>sản</w:t>
      </w:r>
      <w:proofErr w:type="spellEnd"/>
      <w:r w:rsidR="00F1616A">
        <w:t xml:space="preserve"> </w:t>
      </w:r>
      <w:proofErr w:type="spellStart"/>
      <w:r w:rsidR="00F1616A">
        <w:t>phẩm</w:t>
      </w:r>
      <w:proofErr w:type="spellEnd"/>
      <w:r w:rsidR="00F1616A">
        <w:t xml:space="preserve"> </w:t>
      </w:r>
      <w:proofErr w:type="spellStart"/>
      <w:r w:rsidR="00F1616A">
        <w:t>thương</w:t>
      </w:r>
      <w:proofErr w:type="spellEnd"/>
      <w:r w:rsidR="00F1616A">
        <w:t xml:space="preserve"> </w:t>
      </w:r>
      <w:proofErr w:type="spellStart"/>
      <w:r w:rsidR="00F1616A">
        <w:t>mại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AA3B0F" w:rsidRPr="00AA3B0F" w:rsidRDefault="00AA3B0F" w:rsidP="00AA3B0F">
      <w:r>
        <w:t xml:space="preserve">Ở </w:t>
      </w:r>
      <w:proofErr w:type="spellStart"/>
      <w:r>
        <w:t>nước</w:t>
      </w:r>
      <w:proofErr w:type="spellEnd"/>
      <w:r>
        <w:t xml:space="preserve"> ta,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gimbal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   </w:t>
      </w:r>
    </w:p>
    <w:p w:rsidR="00F1616A" w:rsidRPr="00AA3B0F" w:rsidRDefault="00F1616A" w:rsidP="00F1616A">
      <w:pPr>
        <w:pStyle w:val="Heading2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1155A6" w:rsidRDefault="001155A6" w:rsidP="001155A6">
      <w:pPr>
        <w:pStyle w:val="Heading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2819A3" w:rsidRDefault="002819A3" w:rsidP="002819A3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…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</w:t>
      </w:r>
    </w:p>
    <w:p w:rsidR="002819A3" w:rsidRPr="002819A3" w:rsidRDefault="002819A3" w:rsidP="002819A3"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…</w:t>
      </w:r>
    </w:p>
    <w:p w:rsidR="00FA4B0D" w:rsidRDefault="00FA4B0D" w:rsidP="00FA4B0D">
      <w:pPr>
        <w:pStyle w:val="Heading1"/>
      </w:pPr>
      <w:proofErr w:type="spellStart"/>
      <w:r>
        <w:lastRenderedPageBreak/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A4B0D" w:rsidRDefault="00FA4B0D" w:rsidP="00FA4B0D">
      <w:pPr>
        <w:pStyle w:val="Heading2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</w:p>
    <w:p w:rsidR="00DF23F4" w:rsidRPr="00DF23F4" w:rsidRDefault="00DF23F4" w:rsidP="00DF23F4"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3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</w:t>
      </w:r>
    </w:p>
    <w:p w:rsidR="00FA4B0D" w:rsidRDefault="00FA4B0D" w:rsidP="00FA4B0D">
      <w:pPr>
        <w:pStyle w:val="Heading2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:rsidR="00DF23F4" w:rsidRPr="00DF23F4" w:rsidRDefault="00DF23F4" w:rsidP="00DF23F4">
      <w:r>
        <w:t>PID</w:t>
      </w:r>
    </w:p>
    <w:p w:rsidR="00FA4B0D" w:rsidRDefault="00FA4B0D" w:rsidP="00FA4B0D">
      <w:pPr>
        <w:pStyle w:val="Heading2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DF23F4" w:rsidRPr="00DF23F4" w:rsidRDefault="00DF23F4" w:rsidP="00DF23F4">
      <w:r>
        <w:t xml:space="preserve">Gimbal BLDC </w:t>
      </w:r>
    </w:p>
    <w:p w:rsidR="00FA4B0D" w:rsidRDefault="00FA4B0D" w:rsidP="00FA4B0D">
      <w:pPr>
        <w:pStyle w:val="Heading2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DF23F4" w:rsidRPr="00DF23F4" w:rsidRDefault="00DF23F4" w:rsidP="00DF23F4">
      <w:r>
        <w:t>MPU6050</w:t>
      </w:r>
      <w:bookmarkStart w:id="1" w:name="_GoBack"/>
      <w:bookmarkEnd w:id="1"/>
    </w:p>
    <w:sectPr w:rsidR="00DF23F4" w:rsidRPr="00DF23F4" w:rsidSect="00BA032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C7E" w:rsidRDefault="00C00C7E" w:rsidP="00FA4B0D">
      <w:pPr>
        <w:spacing w:after="0" w:line="240" w:lineRule="auto"/>
      </w:pPr>
      <w:r>
        <w:separator/>
      </w:r>
    </w:p>
  </w:endnote>
  <w:endnote w:type="continuationSeparator" w:id="0">
    <w:p w:rsidR="00C00C7E" w:rsidRDefault="00C00C7E" w:rsidP="00FA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C7E" w:rsidRDefault="00C00C7E" w:rsidP="00FA4B0D">
      <w:pPr>
        <w:spacing w:after="0" w:line="240" w:lineRule="auto"/>
      </w:pPr>
      <w:r>
        <w:separator/>
      </w:r>
    </w:p>
  </w:footnote>
  <w:footnote w:type="continuationSeparator" w:id="0">
    <w:p w:rsidR="00C00C7E" w:rsidRDefault="00C00C7E" w:rsidP="00FA4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C5657"/>
    <w:multiLevelType w:val="multilevel"/>
    <w:tmpl w:val="016AAE52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19"/>
    <w:rsid w:val="000510A6"/>
    <w:rsid w:val="00076B05"/>
    <w:rsid w:val="000868CB"/>
    <w:rsid w:val="000A669D"/>
    <w:rsid w:val="000D340E"/>
    <w:rsid w:val="001155A6"/>
    <w:rsid w:val="00131D23"/>
    <w:rsid w:val="001F3357"/>
    <w:rsid w:val="002819A3"/>
    <w:rsid w:val="002E538E"/>
    <w:rsid w:val="002F1ABA"/>
    <w:rsid w:val="00351E72"/>
    <w:rsid w:val="003A137F"/>
    <w:rsid w:val="00424BAC"/>
    <w:rsid w:val="004B6F48"/>
    <w:rsid w:val="00516D66"/>
    <w:rsid w:val="00547C6E"/>
    <w:rsid w:val="00550D7B"/>
    <w:rsid w:val="00587D70"/>
    <w:rsid w:val="005B399F"/>
    <w:rsid w:val="006028FF"/>
    <w:rsid w:val="006939E0"/>
    <w:rsid w:val="00716DED"/>
    <w:rsid w:val="007201EE"/>
    <w:rsid w:val="00752822"/>
    <w:rsid w:val="00772B2C"/>
    <w:rsid w:val="008757A7"/>
    <w:rsid w:val="008A3A5D"/>
    <w:rsid w:val="00922704"/>
    <w:rsid w:val="00952CC9"/>
    <w:rsid w:val="00974CD8"/>
    <w:rsid w:val="00AA3B0F"/>
    <w:rsid w:val="00AD7439"/>
    <w:rsid w:val="00BA0327"/>
    <w:rsid w:val="00BC3547"/>
    <w:rsid w:val="00C00C7E"/>
    <w:rsid w:val="00C93EFF"/>
    <w:rsid w:val="00CF4A8D"/>
    <w:rsid w:val="00D56B21"/>
    <w:rsid w:val="00D65946"/>
    <w:rsid w:val="00DF23F4"/>
    <w:rsid w:val="00E041E4"/>
    <w:rsid w:val="00E12B19"/>
    <w:rsid w:val="00E50EE7"/>
    <w:rsid w:val="00EA41F0"/>
    <w:rsid w:val="00EE3AB3"/>
    <w:rsid w:val="00F1616A"/>
    <w:rsid w:val="00F759FC"/>
    <w:rsid w:val="00F90C62"/>
    <w:rsid w:val="00FA4B0D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DF4E-C9D3-41A8-A041-CDB65F7F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B0D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32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2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0327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C6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2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2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27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0C62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22704"/>
    <w:pPr>
      <w:tabs>
        <w:tab w:val="right" w:leader="dot" w:pos="9395"/>
      </w:tabs>
      <w:spacing w:after="100" w:line="24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424B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4B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4B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6F48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B6F4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A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0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A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0D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AD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868CB"/>
    <w:rPr>
      <w:color w:val="808080"/>
    </w:rPr>
  </w:style>
  <w:style w:type="character" w:styleId="Emphasis">
    <w:name w:val="Emphasis"/>
    <w:basedOn w:val="DefaultParagraphFont"/>
    <w:uiPriority w:val="20"/>
    <w:qFormat/>
    <w:rsid w:val="00EE3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2899E386F0462AB6E8A2297C06F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94A71-FF0F-4BFE-AFE1-F0744ADB7F1C}"/>
      </w:docPartPr>
      <w:docPartBody>
        <w:p w:rsidR="00000000" w:rsidRDefault="007A1374" w:rsidP="007A1374">
          <w:pPr>
            <w:pStyle w:val="952899E386F0462AB6E8A2297C06F96E"/>
          </w:pPr>
          <w:r w:rsidRPr="005D2E2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74"/>
    <w:rsid w:val="007A1374"/>
    <w:rsid w:val="00B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374"/>
    <w:rPr>
      <w:color w:val="808080"/>
    </w:rPr>
  </w:style>
  <w:style w:type="paragraph" w:customStyle="1" w:styleId="952899E386F0462AB6E8A2297C06F96E">
    <w:name w:val="952899E386F0462AB6E8A2297C06F96E"/>
    <w:rsid w:val="007A1374"/>
  </w:style>
  <w:style w:type="paragraph" w:customStyle="1" w:styleId="64044EB116E641BEA820A55E96565E9B">
    <w:name w:val="64044EB116E641BEA820A55E96565E9B"/>
    <w:rsid w:val="007A1374"/>
  </w:style>
  <w:style w:type="paragraph" w:customStyle="1" w:styleId="C4C1E22759874112ADD96BE9B457B81C">
    <w:name w:val="C4C1E22759874112ADD96BE9B457B81C"/>
    <w:rsid w:val="007A1374"/>
  </w:style>
  <w:style w:type="paragraph" w:customStyle="1" w:styleId="388F6B2124364653867F6879BA423BE1">
    <w:name w:val="388F6B2124364653867F6879BA423BE1"/>
    <w:rsid w:val="007A1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42D83-1C80-4213-A4D7-37706B18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2018-01-16T05:50:00Z</dcterms:created>
  <dcterms:modified xsi:type="dcterms:W3CDTF">2018-01-17T16:04:00Z</dcterms:modified>
</cp:coreProperties>
</file>