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D0A" w:rsidRPr="00AB5D5B" w:rsidRDefault="003C04E2" w:rsidP="003661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B5D5B">
        <w:rPr>
          <w:rFonts w:ascii="Times New Roman" w:hAnsi="Times New Roman" w:cs="Times New Roman"/>
          <w:sz w:val="26"/>
          <w:szCs w:val="26"/>
        </w:rPr>
        <w:t>Ôn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>:</w:t>
      </w:r>
    </w:p>
    <w:p w:rsidR="003C04E2" w:rsidRPr="00AB5D5B" w:rsidRDefault="003C04E2" w:rsidP="00366105">
      <w:pPr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B5D5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>?</w:t>
      </w:r>
    </w:p>
    <w:p w:rsidR="003C04E2" w:rsidRPr="00AB5D5B" w:rsidRDefault="00366105" w:rsidP="00366105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B5D5B">
        <w:rPr>
          <w:rFonts w:ascii="Times New Roman" w:hAnsi="Times New Roman" w:cs="Times New Roman"/>
          <w:sz w:val="26"/>
          <w:szCs w:val="26"/>
        </w:rPr>
        <w:t xml:space="preserve">+ 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</w:t>
      </w:r>
      <w:r w:rsidR="003C04E2" w:rsidRPr="00AB5D5B">
        <w:rPr>
          <w:rFonts w:ascii="Times New Roman" w:hAnsi="Times New Roman" w:cs="Times New Roman"/>
          <w:sz w:val="26"/>
          <w:szCs w:val="26"/>
        </w:rPr>
        <w:t>ặt</w:t>
      </w:r>
      <w:proofErr w:type="spellEnd"/>
      <w:proofErr w:type="gramEnd"/>
      <w:r w:rsidR="003C04E2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4E2" w:rsidRPr="00AB5D5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3C04E2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4E2" w:rsidRPr="00AB5D5B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="003C04E2" w:rsidRPr="00AB5D5B">
        <w:rPr>
          <w:rFonts w:ascii="Times New Roman" w:hAnsi="Times New Roman" w:cs="Times New Roman"/>
          <w:sz w:val="26"/>
          <w:szCs w:val="26"/>
        </w:rPr>
        <w:t>:</w:t>
      </w:r>
    </w:p>
    <w:p w:rsidR="003C04E2" w:rsidRPr="00AB5D5B" w:rsidRDefault="003C04E2" w:rsidP="0036610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B5D5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(H0)</w:t>
      </w:r>
    </w:p>
    <w:p w:rsidR="003C04E2" w:rsidRPr="00AB5D5B" w:rsidRDefault="003C04E2" w:rsidP="0036610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B5D5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B5D5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B5D5B">
        <w:rPr>
          <w:rFonts w:ascii="Times New Roman" w:hAnsi="Times New Roman" w:cs="Times New Roman"/>
          <w:sz w:val="26"/>
          <w:szCs w:val="26"/>
        </w:rPr>
        <w:t>H1)</w:t>
      </w:r>
    </w:p>
    <w:p w:rsidR="003C04E2" w:rsidRPr="00AB5D5B" w:rsidRDefault="003C04E2" w:rsidP="00366105">
      <w:pPr>
        <w:jc w:val="both"/>
        <w:rPr>
          <w:rFonts w:ascii="Times New Roman" w:hAnsi="Times New Roman" w:cs="Times New Roman"/>
          <w:sz w:val="26"/>
          <w:szCs w:val="26"/>
        </w:rPr>
      </w:pPr>
      <w:r w:rsidRPr="00AB5D5B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>:</w:t>
      </w:r>
    </w:p>
    <w:p w:rsidR="003C04E2" w:rsidRPr="00AB5D5B" w:rsidRDefault="003C04E2" w:rsidP="0036610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B5D5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H0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B5D5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>.</w:t>
      </w:r>
    </w:p>
    <w:p w:rsidR="003C04E2" w:rsidRPr="00AB5D5B" w:rsidRDefault="003C04E2" w:rsidP="0036610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B5D5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H0:</w:t>
      </w:r>
    </w:p>
    <w:p w:rsidR="003C04E2" w:rsidRPr="00AB5D5B" w:rsidRDefault="003C04E2" w:rsidP="003661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B5D5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trạn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:rsidR="003C04E2" w:rsidRPr="00AB5D5B" w:rsidRDefault="003C04E2" w:rsidP="003661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B5D5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: dung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=&lt;</w:t>
      </w:r>
      <w:proofErr w:type="gramStart"/>
      <w:r w:rsidRPr="00AB5D5B">
        <w:rPr>
          <w:rFonts w:ascii="Times New Roman" w:hAnsi="Times New Roman" w:cs="Times New Roman"/>
          <w:sz w:val="26"/>
          <w:szCs w:val="26"/>
        </w:rPr>
        <w:t>.=</w:t>
      </w:r>
      <w:proofErr w:type="gramEnd"/>
      <w:r w:rsidRPr="00AB5D5B">
        <w:rPr>
          <w:rFonts w:ascii="Times New Roman" w:hAnsi="Times New Roman" w:cs="Times New Roman"/>
          <w:sz w:val="26"/>
          <w:szCs w:val="26"/>
        </w:rPr>
        <w:t>&gt;,=</w:t>
      </w:r>
    </w:p>
    <w:p w:rsidR="00366105" w:rsidRPr="00AB5D5B" w:rsidRDefault="00366105" w:rsidP="0036610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B5D5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H1:</w:t>
      </w:r>
    </w:p>
    <w:p w:rsidR="00366105" w:rsidRPr="00AB5D5B" w:rsidRDefault="00366105" w:rsidP="003661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B5D5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:rsidR="00366105" w:rsidRPr="00AB5D5B" w:rsidRDefault="00366105" w:rsidP="003661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B5D5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H0</w:t>
      </w:r>
    </w:p>
    <w:p w:rsidR="00366105" w:rsidRPr="00AB5D5B" w:rsidRDefault="00366105" w:rsidP="0036610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B5D5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H0</w:t>
      </w:r>
    </w:p>
    <w:p w:rsidR="00366105" w:rsidRPr="00AB5D5B" w:rsidRDefault="00366105" w:rsidP="00366105">
      <w:pPr>
        <w:jc w:val="both"/>
        <w:rPr>
          <w:rFonts w:ascii="Times New Roman" w:hAnsi="Times New Roman" w:cs="Times New Roman"/>
          <w:sz w:val="26"/>
          <w:szCs w:val="26"/>
        </w:rPr>
      </w:pPr>
      <w:r w:rsidRPr="00AB5D5B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3C04E2" w:rsidRPr="00AB5D5B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="003C04E2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4E2" w:rsidRPr="00AB5D5B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3C04E2" w:rsidRPr="00AB5D5B">
        <w:rPr>
          <w:rFonts w:ascii="Times New Roman" w:hAnsi="Times New Roman" w:cs="Times New Roman"/>
          <w:sz w:val="26"/>
          <w:szCs w:val="26"/>
        </w:rPr>
        <w:t xml:space="preserve"> H0: </w:t>
      </w:r>
      <w:proofErr w:type="spellStart"/>
      <w:r w:rsidR="003C04E2" w:rsidRPr="00AB5D5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3C04E2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4E2" w:rsidRPr="00AB5D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C04E2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4E2" w:rsidRPr="00AB5D5B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3C04E2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4E2" w:rsidRPr="00AB5D5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3C04E2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4E2" w:rsidRPr="00AB5D5B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3C04E2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4E2" w:rsidRPr="00AB5D5B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="003C04E2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4E2" w:rsidRPr="00AB5D5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3C04E2" w:rsidRPr="00AB5D5B">
        <w:rPr>
          <w:rFonts w:ascii="Times New Roman" w:hAnsi="Times New Roman" w:cs="Times New Roman"/>
          <w:sz w:val="26"/>
          <w:szCs w:val="26"/>
        </w:rPr>
        <w:t xml:space="preserve"> H1 </w:t>
      </w:r>
    </w:p>
    <w:p w:rsidR="00366105" w:rsidRPr="00AB5D5B" w:rsidRDefault="00366105" w:rsidP="00366105">
      <w:pPr>
        <w:jc w:val="both"/>
        <w:rPr>
          <w:rFonts w:ascii="Times New Roman" w:hAnsi="Times New Roman" w:cs="Times New Roman"/>
          <w:sz w:val="26"/>
          <w:szCs w:val="26"/>
        </w:rPr>
      </w:pPr>
      <w:r w:rsidRPr="00AB5D5B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proofErr w:type="gramStart"/>
      <w:r w:rsidRPr="00AB5D5B">
        <w:rPr>
          <w:rFonts w:ascii="Times New Roman" w:hAnsi="Times New Roman" w:cs="Times New Roman"/>
          <w:sz w:val="26"/>
          <w:szCs w:val="26"/>
        </w:rPr>
        <w:t>nếu</w:t>
      </w:r>
      <w:proofErr w:type="spellEnd"/>
      <w:proofErr w:type="gram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H0</w:t>
      </w:r>
      <w:r w:rsidR="003C04E2" w:rsidRPr="00AB5D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C04E2" w:rsidRPr="00AB5D5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C04E2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4E2" w:rsidRPr="00AB5D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C04E2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4E2" w:rsidRPr="00AB5D5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3C04E2" w:rsidRPr="00AB5D5B">
        <w:rPr>
          <w:rFonts w:ascii="Times New Roman" w:hAnsi="Times New Roman" w:cs="Times New Roman"/>
          <w:sz w:val="26"/>
          <w:szCs w:val="26"/>
        </w:rPr>
        <w:t xml:space="preserve"> H0 </w:t>
      </w:r>
      <w:proofErr w:type="spellStart"/>
      <w:r w:rsidR="003C04E2" w:rsidRPr="00AB5D5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3C04E2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4E2" w:rsidRPr="00AB5D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C04E2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4E2" w:rsidRPr="00AB5D5B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3C04E2" w:rsidRPr="00AB5D5B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="003C04E2" w:rsidRPr="00AB5D5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3C04E2" w:rsidRPr="00AB5D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C04E2" w:rsidRPr="00AB5D5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3C04E2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4E2" w:rsidRPr="00AB5D5B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3C04E2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4E2" w:rsidRPr="00AB5D5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3C04E2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4E2" w:rsidRPr="00AB5D5B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3C04E2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4E2" w:rsidRPr="00AB5D5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C04E2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4E2" w:rsidRPr="00AB5D5B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="003C04E2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4E2" w:rsidRPr="00AB5D5B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3C04E2" w:rsidRPr="00AB5D5B">
        <w:rPr>
          <w:rFonts w:ascii="Times New Roman" w:hAnsi="Times New Roman" w:cs="Times New Roman"/>
          <w:sz w:val="26"/>
          <w:szCs w:val="26"/>
        </w:rPr>
        <w:t xml:space="preserve"> H0</w:t>
      </w:r>
    </w:p>
    <w:p w:rsidR="00366105" w:rsidRPr="00AB5D5B" w:rsidRDefault="00366105" w:rsidP="0036610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lầm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I,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lầm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II.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họa</w:t>
      </w:r>
      <w:proofErr w:type="spellEnd"/>
    </w:p>
    <w:p w:rsidR="00366105" w:rsidRPr="00AB5D5B" w:rsidRDefault="00366105" w:rsidP="00366105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B5D5B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lầm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lầm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pham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H0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H0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>.</w:t>
      </w:r>
    </w:p>
    <w:p w:rsidR="00366105" w:rsidRPr="00AB5D5B" w:rsidRDefault="00366105" w:rsidP="00366105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B5D5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cảu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H0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H0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đực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xá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lầm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1</w:t>
      </w:r>
    </w:p>
    <w:p w:rsidR="00366105" w:rsidRPr="00AB5D5B" w:rsidRDefault="00366105" w:rsidP="00366105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B5D5B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lầm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lầm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H0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H0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H0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lầm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366105" w:rsidRPr="00AB5D5B" w:rsidRDefault="00366105" w:rsidP="0036610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B5D5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H0:</w:t>
      </w:r>
      <w:r w:rsidR="00DA5A13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A5A13" w:rsidRPr="00AB5D5B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="00DA5A13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A13" w:rsidRPr="00AB5D5B">
        <w:rPr>
          <w:rFonts w:ascii="Times New Roman" w:hAnsi="Times New Roman" w:cs="Times New Roman"/>
          <w:sz w:val="26"/>
          <w:szCs w:val="26"/>
        </w:rPr>
        <w:t>nhậ</w:t>
      </w:r>
      <w:r w:rsidR="002D06A0" w:rsidRPr="00AB5D5B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D06A0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6A0" w:rsidRPr="00AB5D5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D06A0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6A0" w:rsidRPr="00AB5D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A5A13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A13" w:rsidRPr="00AB5D5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DA5A13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A13" w:rsidRPr="00AB5D5B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="00DA5A13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A13" w:rsidRPr="00AB5D5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DA5A13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A13" w:rsidRPr="00AB5D5B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="00DA5A13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A13" w:rsidRPr="00AB5D5B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DA5A13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A13" w:rsidRPr="00AB5D5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A5A13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A13" w:rsidRPr="00AB5D5B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DA5A13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A13" w:rsidRPr="00AB5D5B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DA5A13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A13" w:rsidRPr="00AB5D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A5A13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A13" w:rsidRPr="00AB5D5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DA5A13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A13" w:rsidRPr="00AB5D5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DA5A13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A13" w:rsidRPr="00AB5D5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DA5A13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A13" w:rsidRPr="00AB5D5B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DA5A13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A13" w:rsidRPr="00AB5D5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DA5A13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A13" w:rsidRPr="00AB5D5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A5A13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A13" w:rsidRPr="00AB5D5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DA5A13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A13" w:rsidRPr="00AB5D5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A5A13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A13" w:rsidRPr="00AB5D5B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DA5A13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A13" w:rsidRPr="00AB5D5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A5A13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A13" w:rsidRPr="00AB5D5B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DA5A13" w:rsidRPr="00AB5D5B">
        <w:rPr>
          <w:rFonts w:ascii="Times New Roman" w:hAnsi="Times New Roman" w:cs="Times New Roman"/>
          <w:sz w:val="26"/>
          <w:szCs w:val="26"/>
        </w:rPr>
        <w:t xml:space="preserve"> Minh.</w:t>
      </w:r>
    </w:p>
    <w:p w:rsidR="00DA5A13" w:rsidRPr="00AB5D5B" w:rsidRDefault="00DA5A13" w:rsidP="00366105">
      <w:pPr>
        <w:jc w:val="both"/>
        <w:rPr>
          <w:rFonts w:ascii="Times New Roman" w:hAnsi="Times New Roman" w:cs="Times New Roman"/>
          <w:sz w:val="26"/>
          <w:szCs w:val="26"/>
        </w:rPr>
      </w:pPr>
      <w:r w:rsidRPr="00AB5D5B">
        <w:rPr>
          <w:rFonts w:ascii="Times New Roman" w:hAnsi="Times New Roman" w:cs="Times New Roman"/>
          <w:sz w:val="26"/>
          <w:szCs w:val="26"/>
        </w:rPr>
        <w:t xml:space="preserve">H1: </w:t>
      </w:r>
      <w:proofErr w:type="spellStart"/>
      <w:proofErr w:type="gramStart"/>
      <w:r w:rsidRPr="00AB5D5B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nhậ</w:t>
      </w:r>
      <w:r w:rsidR="002D06A0" w:rsidRPr="00AB5D5B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Minh.</w:t>
      </w:r>
    </w:p>
    <w:p w:rsidR="00DA5A13" w:rsidRPr="00AB5D5B" w:rsidRDefault="00DA5A13" w:rsidP="0036610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B5D5B">
        <w:rPr>
          <w:rFonts w:ascii="Times New Roman" w:hAnsi="Times New Roman" w:cs="Times New Roman"/>
          <w:sz w:val="26"/>
          <w:szCs w:val="26"/>
        </w:rPr>
        <w:lastRenderedPageBreak/>
        <w:t>Nế</w:t>
      </w:r>
      <w:r w:rsidR="002D06A0" w:rsidRPr="00AB5D5B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2D06A0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6A0" w:rsidRPr="00AB5D5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2D06A0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6A0" w:rsidRPr="00AB5D5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2D06A0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6A0" w:rsidRPr="00AB5D5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2D06A0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6A0" w:rsidRPr="00AB5D5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D06A0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6A0" w:rsidRPr="00AB5D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D06A0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6A0" w:rsidRPr="00AB5D5B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2D06A0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6A0" w:rsidRPr="00AB5D5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2D06A0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6A0" w:rsidRPr="00AB5D5B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2D06A0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6A0" w:rsidRPr="00AB5D5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D06A0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6A0" w:rsidRPr="00AB5D5B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="002D06A0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6A0" w:rsidRPr="00AB5D5B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2D06A0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2D06A0" w:rsidRPr="00AB5D5B">
        <w:rPr>
          <w:rFonts w:ascii="Times New Roman" w:hAnsi="Times New Roman" w:cs="Times New Roman"/>
          <w:sz w:val="26"/>
          <w:szCs w:val="26"/>
        </w:rPr>
        <w:t xml:space="preserve">H0 </w:t>
      </w:r>
      <w:r w:rsidR="00AF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3778">
        <w:rPr>
          <w:rFonts w:ascii="Times New Roman" w:hAnsi="Times New Roman" w:cs="Times New Roman"/>
          <w:sz w:val="26"/>
          <w:szCs w:val="26"/>
        </w:rPr>
        <w:t>sai</w:t>
      </w:r>
      <w:proofErr w:type="spellEnd"/>
      <w:proofErr w:type="gramEnd"/>
      <w:r w:rsidR="00AF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6A0" w:rsidRPr="00AB5D5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2D06A0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6A0" w:rsidRPr="00AB5D5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2D06A0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6A0" w:rsidRPr="00AB5D5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D06A0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6A0" w:rsidRPr="00AB5D5B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="002D06A0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6A0" w:rsidRPr="00AB5D5B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2D06A0" w:rsidRPr="00AB5D5B">
        <w:rPr>
          <w:rFonts w:ascii="Times New Roman" w:hAnsi="Times New Roman" w:cs="Times New Roman"/>
          <w:sz w:val="26"/>
          <w:szCs w:val="26"/>
        </w:rPr>
        <w:t xml:space="preserve"> </w:t>
      </w:r>
      <w:r w:rsidR="00095E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E9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095E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E9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095E9A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 w:rsidR="00095E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E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95E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E9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095E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E9A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="00095E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E9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095E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E9A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="00095E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E9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095E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E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95E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E9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095E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E9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095E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E9A">
        <w:rPr>
          <w:rFonts w:ascii="Times New Roman" w:hAnsi="Times New Roman" w:cs="Times New Roman"/>
          <w:sz w:val="26"/>
          <w:szCs w:val="26"/>
        </w:rPr>
        <w:t>đhcn</w:t>
      </w:r>
      <w:proofErr w:type="spellEnd"/>
      <w:r w:rsidR="00095E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E9A">
        <w:rPr>
          <w:rFonts w:ascii="Times New Roman" w:hAnsi="Times New Roman" w:cs="Times New Roman"/>
          <w:sz w:val="26"/>
          <w:szCs w:val="26"/>
        </w:rPr>
        <w:t>TpHCM</w:t>
      </w:r>
      <w:proofErr w:type="spellEnd"/>
      <w:r w:rsidR="00095E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6A0" w:rsidRPr="00AB5D5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2D06A0" w:rsidRPr="00AB5D5B">
        <w:rPr>
          <w:rFonts w:ascii="Times New Roman" w:hAnsi="Times New Roman" w:cs="Times New Roman"/>
          <w:sz w:val="26"/>
          <w:szCs w:val="26"/>
        </w:rPr>
        <w:t xml:space="preserve"> ta</w:t>
      </w:r>
      <w:r w:rsidR="00AF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3778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="00AF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3778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AF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3778">
        <w:rPr>
          <w:rFonts w:ascii="Times New Roman" w:hAnsi="Times New Roman" w:cs="Times New Roman"/>
          <w:sz w:val="26"/>
          <w:szCs w:val="26"/>
        </w:rPr>
        <w:t>lầm</w:t>
      </w:r>
      <w:proofErr w:type="spellEnd"/>
      <w:r w:rsidR="00AF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377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AF3778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AF37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F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3778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="00AF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3778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095E9A">
        <w:rPr>
          <w:rFonts w:ascii="Times New Roman" w:hAnsi="Times New Roman" w:cs="Times New Roman"/>
          <w:sz w:val="26"/>
          <w:szCs w:val="26"/>
        </w:rPr>
        <w:t xml:space="preserve"> H0 </w:t>
      </w:r>
      <w:proofErr w:type="spellStart"/>
      <w:r w:rsidR="00095E9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095E9A">
        <w:rPr>
          <w:rFonts w:ascii="Times New Roman" w:hAnsi="Times New Roman" w:cs="Times New Roman"/>
          <w:sz w:val="26"/>
          <w:szCs w:val="26"/>
        </w:rPr>
        <w:t xml:space="preserve"> H0 </w:t>
      </w:r>
      <w:proofErr w:type="spellStart"/>
      <w:r w:rsidR="00095E9A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095E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95E9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095E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E9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095E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E9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95E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E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95E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E9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095E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E9A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="00095E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E9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095E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E9A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="00095E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E9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095E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E9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095E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E9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095E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E9A">
        <w:rPr>
          <w:rFonts w:ascii="Times New Roman" w:hAnsi="Times New Roman" w:cs="Times New Roman"/>
          <w:sz w:val="26"/>
          <w:szCs w:val="26"/>
        </w:rPr>
        <w:t>đhcntpHCM</w:t>
      </w:r>
      <w:proofErr w:type="spellEnd"/>
      <w:r w:rsidR="00095E9A">
        <w:rPr>
          <w:rFonts w:ascii="Times New Roman" w:hAnsi="Times New Roman" w:cs="Times New Roman"/>
          <w:sz w:val="26"/>
          <w:szCs w:val="26"/>
        </w:rPr>
        <w:t xml:space="preserve"> ta </w:t>
      </w:r>
      <w:r w:rsidR="00AF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3778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="00AF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3778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AF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3778">
        <w:rPr>
          <w:rFonts w:ascii="Times New Roman" w:hAnsi="Times New Roman" w:cs="Times New Roman"/>
          <w:sz w:val="26"/>
          <w:szCs w:val="26"/>
        </w:rPr>
        <w:t>lầm</w:t>
      </w:r>
      <w:proofErr w:type="spellEnd"/>
      <w:r w:rsidR="00AF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377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AF3778">
        <w:rPr>
          <w:rFonts w:ascii="Times New Roman" w:hAnsi="Times New Roman" w:cs="Times New Roman"/>
          <w:sz w:val="26"/>
          <w:szCs w:val="26"/>
        </w:rPr>
        <w:t xml:space="preserve"> 1.</w:t>
      </w:r>
    </w:p>
    <w:p w:rsidR="00207ADC" w:rsidRPr="00AB5D5B" w:rsidRDefault="00207ADC" w:rsidP="00366105">
      <w:pPr>
        <w:jc w:val="both"/>
        <w:rPr>
          <w:rFonts w:ascii="Times New Roman" w:hAnsi="Times New Roman" w:cs="Times New Roman"/>
          <w:sz w:val="26"/>
          <w:szCs w:val="26"/>
        </w:rPr>
      </w:pPr>
      <w:r w:rsidRPr="00AB5D5B">
        <w:rPr>
          <w:rFonts w:ascii="Times New Roman" w:hAnsi="Times New Roman" w:cs="Times New Roman"/>
          <w:sz w:val="26"/>
          <w:szCs w:val="26"/>
        </w:rPr>
        <w:t>II.</w:t>
      </w:r>
    </w:p>
    <w:p w:rsidR="003B6E97" w:rsidRPr="00AB5D5B" w:rsidRDefault="003B6E97" w:rsidP="0036610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B5D5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1: H0: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nghiệp</w:t>
      </w:r>
      <w:proofErr w:type="spellEnd"/>
    </w:p>
    <w:p w:rsidR="003B6E97" w:rsidRPr="00AB5D5B" w:rsidRDefault="003B6E97" w:rsidP="00366105">
      <w:pPr>
        <w:jc w:val="both"/>
        <w:rPr>
          <w:rFonts w:ascii="Times New Roman" w:hAnsi="Times New Roman" w:cs="Times New Roman"/>
          <w:sz w:val="26"/>
          <w:szCs w:val="26"/>
        </w:rPr>
      </w:pPr>
      <w:r w:rsidRPr="00AB5D5B">
        <w:rPr>
          <w:rFonts w:ascii="Times New Roman" w:hAnsi="Times New Roman" w:cs="Times New Roman"/>
          <w:sz w:val="26"/>
          <w:szCs w:val="26"/>
        </w:rPr>
        <w:t>H1:</w:t>
      </w:r>
    </w:p>
    <w:p w:rsidR="00165F59" w:rsidRPr="00165F59" w:rsidRDefault="00165F59" w:rsidP="00165F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7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5"/>
        <w:gridCol w:w="2448"/>
        <w:gridCol w:w="1468"/>
        <w:gridCol w:w="1468"/>
        <w:gridCol w:w="1009"/>
      </w:tblGrid>
      <w:tr w:rsidR="00165F59" w:rsidRPr="00165F59" w:rsidTr="00165F5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648" w:type="dxa"/>
            <w:gridSpan w:val="5"/>
            <w:shd w:val="clear" w:color="auto" w:fill="FFFFFF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Bảng</w:t>
            </w:r>
            <w:proofErr w:type="spellEnd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1.1: </w:t>
            </w:r>
            <w:proofErr w:type="spellStart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thống</w:t>
            </w:r>
            <w:proofErr w:type="spellEnd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kê</w:t>
            </w:r>
            <w:proofErr w:type="spellEnd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về</w:t>
            </w:r>
            <w:proofErr w:type="spellEnd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vốn</w:t>
            </w:r>
            <w:proofErr w:type="spellEnd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và</w:t>
            </w:r>
            <w:proofErr w:type="spellEnd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loại</w:t>
            </w:r>
            <w:proofErr w:type="spellEnd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hình</w:t>
            </w:r>
            <w:proofErr w:type="spellEnd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doanh</w:t>
            </w:r>
            <w:proofErr w:type="spellEnd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nghiệp</w:t>
            </w:r>
            <w:proofErr w:type="spellEnd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165F5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5F5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Crosstabulation</w:t>
            </w:r>
            <w:proofErr w:type="spellEnd"/>
          </w:p>
        </w:tc>
      </w:tr>
      <w:tr w:rsidR="00165F59" w:rsidRPr="00165F59" w:rsidTr="00165F5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703" w:type="dxa"/>
            <w:gridSpan w:val="2"/>
            <w:vMerge w:val="restart"/>
            <w:shd w:val="clear" w:color="auto" w:fill="FFFFFF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B5D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AB5D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B5D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AB5D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B5D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 w:rsidRPr="00AB5D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B5D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nghiệp</w:t>
            </w:r>
            <w:proofErr w:type="spellEnd"/>
          </w:p>
        </w:tc>
        <w:tc>
          <w:tcPr>
            <w:tcW w:w="2936" w:type="dxa"/>
            <w:gridSpan w:val="2"/>
            <w:shd w:val="clear" w:color="auto" w:fill="FFFFFF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vốn</w:t>
            </w:r>
            <w:proofErr w:type="spellEnd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</w:t>
            </w:r>
            <w:proofErr w:type="spellEnd"/>
          </w:p>
        </w:tc>
        <w:tc>
          <w:tcPr>
            <w:tcW w:w="1009" w:type="dxa"/>
            <w:vMerge w:val="restart"/>
            <w:shd w:val="clear" w:color="auto" w:fill="FFFFFF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Total</w:t>
            </w:r>
          </w:p>
        </w:tc>
      </w:tr>
      <w:tr w:rsidR="00165F59" w:rsidRPr="00165F59" w:rsidTr="00165F5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703" w:type="dxa"/>
            <w:gridSpan w:val="2"/>
            <w:vMerge/>
            <w:shd w:val="clear" w:color="auto" w:fill="FFFFFF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68" w:type="dxa"/>
            <w:shd w:val="clear" w:color="auto" w:fill="FFFFFF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Dưới</w:t>
            </w:r>
            <w:proofErr w:type="spellEnd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50 </w:t>
            </w:r>
            <w:proofErr w:type="spellStart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triệu</w:t>
            </w:r>
            <w:proofErr w:type="spellEnd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USD</w:t>
            </w:r>
          </w:p>
        </w:tc>
        <w:tc>
          <w:tcPr>
            <w:tcW w:w="1468" w:type="dxa"/>
            <w:shd w:val="clear" w:color="auto" w:fill="FFFFFF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50 </w:t>
            </w:r>
            <w:proofErr w:type="spellStart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triệu</w:t>
            </w:r>
            <w:proofErr w:type="spellEnd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USD</w:t>
            </w:r>
          </w:p>
        </w:tc>
        <w:tc>
          <w:tcPr>
            <w:tcW w:w="1009" w:type="dxa"/>
            <w:vMerge/>
            <w:shd w:val="clear" w:color="auto" w:fill="FFFFFF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65F59" w:rsidRPr="00165F59" w:rsidTr="00165F5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55" w:type="dxa"/>
            <w:vMerge w:val="restart"/>
            <w:shd w:val="clear" w:color="auto" w:fill="FFFFFF"/>
            <w:vAlign w:val="center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hinh</w:t>
            </w:r>
            <w:proofErr w:type="spellEnd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dn</w:t>
            </w:r>
            <w:proofErr w:type="spellEnd"/>
          </w:p>
        </w:tc>
        <w:tc>
          <w:tcPr>
            <w:tcW w:w="2448" w:type="dxa"/>
            <w:shd w:val="clear" w:color="auto" w:fill="FFFFFF"/>
            <w:vAlign w:val="center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nghiệp</w:t>
            </w:r>
            <w:proofErr w:type="spellEnd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100% </w:t>
            </w:r>
            <w:proofErr w:type="spellStart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vốn</w:t>
            </w:r>
            <w:proofErr w:type="spellEnd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nước</w:t>
            </w:r>
            <w:proofErr w:type="spellEnd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1468" w:type="dxa"/>
            <w:shd w:val="clear" w:color="auto" w:fill="FFFFFF"/>
            <w:vAlign w:val="center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</w:tr>
      <w:tr w:rsidR="00165F59" w:rsidRPr="00165F59" w:rsidTr="00165F5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55" w:type="dxa"/>
            <w:vMerge/>
            <w:shd w:val="clear" w:color="auto" w:fill="FFFFFF"/>
            <w:vAlign w:val="center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48" w:type="dxa"/>
            <w:shd w:val="clear" w:color="auto" w:fill="FFFFFF"/>
            <w:vAlign w:val="center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nghiệp</w:t>
            </w:r>
            <w:proofErr w:type="spellEnd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nhà</w:t>
            </w:r>
            <w:proofErr w:type="spellEnd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nước</w:t>
            </w:r>
            <w:proofErr w:type="spellEnd"/>
          </w:p>
        </w:tc>
        <w:tc>
          <w:tcPr>
            <w:tcW w:w="1468" w:type="dxa"/>
            <w:shd w:val="clear" w:color="auto" w:fill="FFFFFF"/>
            <w:vAlign w:val="center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</w:tr>
      <w:tr w:rsidR="00165F59" w:rsidRPr="00165F59" w:rsidTr="00165F5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55" w:type="dxa"/>
            <w:vMerge/>
            <w:shd w:val="clear" w:color="auto" w:fill="FFFFFF"/>
            <w:vAlign w:val="center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48" w:type="dxa"/>
            <w:shd w:val="clear" w:color="auto" w:fill="FFFFFF"/>
            <w:vAlign w:val="center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nghiệp</w:t>
            </w:r>
            <w:proofErr w:type="spellEnd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liên</w:t>
            </w:r>
            <w:proofErr w:type="spellEnd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nước</w:t>
            </w:r>
            <w:proofErr w:type="spellEnd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1468" w:type="dxa"/>
            <w:shd w:val="clear" w:color="auto" w:fill="FFFFFF"/>
            <w:vAlign w:val="center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</w:tr>
      <w:tr w:rsidR="00165F59" w:rsidRPr="00165F59" w:rsidTr="00165F5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703" w:type="dxa"/>
            <w:gridSpan w:val="2"/>
            <w:shd w:val="clear" w:color="auto" w:fill="FFFFFF"/>
            <w:vAlign w:val="center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Total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29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44</w:t>
            </w:r>
          </w:p>
        </w:tc>
      </w:tr>
    </w:tbl>
    <w:p w:rsidR="00165F59" w:rsidRPr="00165F59" w:rsidRDefault="00165F59" w:rsidP="00165F5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6"/>
          <w:szCs w:val="26"/>
        </w:rPr>
      </w:pPr>
    </w:p>
    <w:p w:rsidR="00207ADC" w:rsidRPr="00207ADC" w:rsidRDefault="00207ADC" w:rsidP="0020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07ADC" w:rsidRPr="00207ADC" w:rsidRDefault="00207ADC" w:rsidP="00207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5F59" w:rsidRPr="00165F59" w:rsidRDefault="00165F59" w:rsidP="00165F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59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009"/>
        <w:gridCol w:w="1009"/>
        <w:gridCol w:w="1468"/>
      </w:tblGrid>
      <w:tr w:rsidR="00165F59" w:rsidRPr="00165F59" w:rsidTr="00165F5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933" w:type="dxa"/>
            <w:gridSpan w:val="4"/>
            <w:shd w:val="clear" w:color="auto" w:fill="FFFFFF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Bảng</w:t>
            </w:r>
            <w:proofErr w:type="spellEnd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1.2 </w:t>
            </w:r>
            <w:proofErr w:type="spellStart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quả</w:t>
            </w:r>
            <w:proofErr w:type="spellEnd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kiểm</w:t>
            </w:r>
            <w:proofErr w:type="spellEnd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đinh</w:t>
            </w:r>
            <w:proofErr w:type="spellEnd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165F5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Chi-Square Tests</w:t>
            </w:r>
          </w:p>
        </w:tc>
      </w:tr>
      <w:tr w:rsidR="00165F59" w:rsidRPr="00165F59" w:rsidTr="00165F5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47" w:type="dxa"/>
            <w:shd w:val="clear" w:color="auto" w:fill="FFFFFF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009" w:type="dxa"/>
            <w:shd w:val="clear" w:color="auto" w:fill="FFFFFF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Value</w:t>
            </w:r>
          </w:p>
        </w:tc>
        <w:tc>
          <w:tcPr>
            <w:tcW w:w="1009" w:type="dxa"/>
            <w:shd w:val="clear" w:color="auto" w:fill="FFFFFF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df</w:t>
            </w:r>
            <w:proofErr w:type="spellEnd"/>
          </w:p>
        </w:tc>
        <w:tc>
          <w:tcPr>
            <w:tcW w:w="1468" w:type="dxa"/>
            <w:shd w:val="clear" w:color="auto" w:fill="FFFFFF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Asymp</w:t>
            </w:r>
            <w:proofErr w:type="spellEnd"/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Sig. (2-sided)</w:t>
            </w:r>
          </w:p>
        </w:tc>
      </w:tr>
      <w:tr w:rsidR="00165F59" w:rsidRPr="00165F59" w:rsidTr="00165F5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47" w:type="dxa"/>
            <w:shd w:val="clear" w:color="auto" w:fill="FFFFFF"/>
            <w:vAlign w:val="center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Pearson Chi-Square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31.605</w:t>
            </w:r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  <w:t>a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.000</w:t>
            </w:r>
          </w:p>
        </w:tc>
      </w:tr>
      <w:tr w:rsidR="00165F59" w:rsidRPr="00165F59" w:rsidTr="00165F5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47" w:type="dxa"/>
            <w:shd w:val="clear" w:color="auto" w:fill="FFFFFF"/>
            <w:vAlign w:val="center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Likelihood Ratio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34.722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.000</w:t>
            </w:r>
          </w:p>
        </w:tc>
      </w:tr>
      <w:tr w:rsidR="00165F59" w:rsidRPr="00165F59" w:rsidTr="00165F5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47" w:type="dxa"/>
            <w:shd w:val="clear" w:color="auto" w:fill="FFFFFF"/>
            <w:vAlign w:val="center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Linear-by-Linear Association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21.137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.000</w:t>
            </w:r>
          </w:p>
        </w:tc>
      </w:tr>
      <w:tr w:rsidR="00165F59" w:rsidRPr="00165F59" w:rsidTr="00165F5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47" w:type="dxa"/>
            <w:shd w:val="clear" w:color="auto" w:fill="FFFFFF"/>
            <w:vAlign w:val="center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 of Valid Cases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44</w:t>
            </w:r>
          </w:p>
        </w:tc>
        <w:tc>
          <w:tcPr>
            <w:tcW w:w="1009" w:type="dxa"/>
            <w:shd w:val="clear" w:color="auto" w:fill="FFFFFF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8" w:type="dxa"/>
            <w:shd w:val="clear" w:color="auto" w:fill="FFFFFF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65F59" w:rsidRPr="00165F59" w:rsidTr="00165F5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933" w:type="dxa"/>
            <w:gridSpan w:val="4"/>
            <w:shd w:val="clear" w:color="auto" w:fill="FFFFFF"/>
          </w:tcPr>
          <w:p w:rsidR="00165F59" w:rsidRPr="00165F59" w:rsidRDefault="00165F59" w:rsidP="00165F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65F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a. 2 cells (33.3%) have expected count less than 5. The minimum expected count is 3.75.</w:t>
            </w:r>
          </w:p>
        </w:tc>
      </w:tr>
    </w:tbl>
    <w:p w:rsidR="00165F59" w:rsidRPr="00165F59" w:rsidRDefault="00165F59" w:rsidP="00165F5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6"/>
          <w:szCs w:val="26"/>
        </w:rPr>
      </w:pPr>
    </w:p>
    <w:p w:rsidR="00207ADC" w:rsidRPr="00AB5D5B" w:rsidRDefault="00165F59" w:rsidP="0036610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B5D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;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proofErr w:type="gram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1.1, ta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1.2 . </w:t>
      </w:r>
      <w:proofErr w:type="spellStart"/>
      <w:proofErr w:type="gramStart"/>
      <w:r w:rsidRPr="00AB5D5B">
        <w:rPr>
          <w:rFonts w:ascii="Times New Roman" w:hAnsi="Times New Roman" w:cs="Times New Roman"/>
          <w:sz w:val="26"/>
          <w:szCs w:val="26"/>
        </w:rPr>
        <w:t>từ</w:t>
      </w:r>
      <w:proofErr w:type="spellEnd"/>
      <w:proofErr w:type="gram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2290" w:rsidRPr="00AB5D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82290"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2290" w:rsidRPr="00AB5D5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882290" w:rsidRPr="00AB5D5B">
        <w:rPr>
          <w:rFonts w:ascii="Times New Roman" w:hAnsi="Times New Roman" w:cs="Times New Roman"/>
          <w:sz w:val="26"/>
          <w:szCs w:val="26"/>
        </w:rPr>
        <w:t xml:space="preserve"> </w:t>
      </w:r>
      <w:r w:rsidR="00882290" w:rsidRPr="00165F59">
        <w:rPr>
          <w:rFonts w:ascii="Times New Roman" w:hAnsi="Times New Roman" w:cs="Times New Roman"/>
          <w:color w:val="000000"/>
          <w:sz w:val="26"/>
          <w:szCs w:val="26"/>
        </w:rPr>
        <w:t>Pearson Chi-Square</w:t>
      </w:r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sig=0.000&lt; α=0.05 </w:t>
      </w:r>
      <w:proofErr w:type="spellStart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>nên</w:t>
      </w:r>
      <w:proofErr w:type="spellEnd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>đủ</w:t>
      </w:r>
      <w:proofErr w:type="spellEnd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>bằng</w:t>
      </w:r>
      <w:proofErr w:type="spellEnd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>chứng</w:t>
      </w:r>
      <w:proofErr w:type="spellEnd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>bác</w:t>
      </w:r>
      <w:proofErr w:type="spellEnd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>bỏ</w:t>
      </w:r>
      <w:proofErr w:type="spellEnd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>giả</w:t>
      </w:r>
      <w:proofErr w:type="spellEnd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>thuyết</w:t>
      </w:r>
      <w:proofErr w:type="spellEnd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H0, </w:t>
      </w:r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hay </w:t>
      </w:r>
      <w:proofErr w:type="spellStart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>nói</w:t>
      </w:r>
      <w:proofErr w:type="spellEnd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>cách</w:t>
      </w:r>
      <w:proofErr w:type="spellEnd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>khác</w:t>
      </w:r>
      <w:proofErr w:type="spellEnd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>vốn</w:t>
      </w:r>
      <w:proofErr w:type="spellEnd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>đầu</w:t>
      </w:r>
      <w:proofErr w:type="spellEnd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>tư</w:t>
      </w:r>
      <w:proofErr w:type="spellEnd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>liên</w:t>
      </w:r>
      <w:proofErr w:type="spellEnd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>đến</w:t>
      </w:r>
      <w:proofErr w:type="spellEnd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>loại</w:t>
      </w:r>
      <w:proofErr w:type="spellEnd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>doanh</w:t>
      </w:r>
      <w:proofErr w:type="spellEnd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proofErr w:type="gramStart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proofErr w:type="gramEnd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>này</w:t>
      </w:r>
      <w:proofErr w:type="spellEnd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>nghĩa</w:t>
      </w:r>
      <w:proofErr w:type="spellEnd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>thống</w:t>
      </w:r>
      <w:proofErr w:type="spellEnd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>kê</w:t>
      </w:r>
      <w:proofErr w:type="spellEnd"/>
      <w:r w:rsidR="00882290" w:rsidRPr="00AB5D5B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882290" w:rsidRPr="00AB5D5B" w:rsidRDefault="00882290" w:rsidP="0036610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Câu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2:</w:t>
      </w:r>
    </w:p>
    <w:p w:rsidR="00882290" w:rsidRPr="00AB5D5B" w:rsidRDefault="003B6E97" w:rsidP="00882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D5B">
        <w:rPr>
          <w:rFonts w:ascii="Times New Roman" w:hAnsi="Times New Roman" w:cs="Times New Roman"/>
          <w:sz w:val="26"/>
          <w:szCs w:val="26"/>
        </w:rPr>
        <w:t xml:space="preserve">H0: </w:t>
      </w:r>
      <w:proofErr w:type="spellStart"/>
      <w:proofErr w:type="gramStart"/>
      <w:r w:rsidRPr="00AB5D5B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nghề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nghiệp</w:t>
      </w:r>
      <w:proofErr w:type="spellEnd"/>
    </w:p>
    <w:p w:rsidR="003B6E97" w:rsidRPr="00882290" w:rsidRDefault="003B6E97" w:rsidP="00882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D5B">
        <w:rPr>
          <w:rFonts w:ascii="Times New Roman" w:hAnsi="Times New Roman" w:cs="Times New Roman"/>
          <w:sz w:val="26"/>
          <w:szCs w:val="26"/>
        </w:rPr>
        <w:t xml:space="preserve">H1: </w:t>
      </w:r>
      <w:proofErr w:type="spellStart"/>
      <w:proofErr w:type="gramStart"/>
      <w:r w:rsidRPr="00AB5D5B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nghiệp</w:t>
      </w:r>
      <w:proofErr w:type="spellEnd"/>
    </w:p>
    <w:tbl>
      <w:tblPr>
        <w:tblW w:w="9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1347"/>
        <w:gridCol w:w="1010"/>
        <w:gridCol w:w="1468"/>
        <w:gridCol w:w="1254"/>
        <w:gridCol w:w="1055"/>
        <w:gridCol w:w="1468"/>
        <w:gridCol w:w="1009"/>
      </w:tblGrid>
      <w:tr w:rsidR="00882290" w:rsidRPr="00882290" w:rsidTr="003B6E9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346" w:type="dxa"/>
            <w:gridSpan w:val="8"/>
            <w:shd w:val="clear" w:color="auto" w:fill="FFFFFF"/>
          </w:tcPr>
          <w:p w:rsidR="003B6E97" w:rsidRPr="00AB5D5B" w:rsidRDefault="003B6E97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3B6E97" w:rsidRPr="00AB5D5B" w:rsidRDefault="003B6E97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3B6E97" w:rsidRPr="00AB5D5B" w:rsidRDefault="003B6E97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882290" w:rsidRPr="00882290" w:rsidRDefault="003B6E97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Bảng</w:t>
            </w:r>
            <w:proofErr w:type="spellEnd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2.1: Thu </w:t>
            </w:r>
            <w:proofErr w:type="spellStart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nhập</w:t>
            </w:r>
            <w:proofErr w:type="spellEnd"/>
            <w:r w:rsidR="00882290" w:rsidRPr="0088229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* </w:t>
            </w:r>
            <w:proofErr w:type="spellStart"/>
            <w:r w:rsidR="00882290" w:rsidRPr="0088229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nghề</w:t>
            </w:r>
            <w:proofErr w:type="spellEnd"/>
            <w:r w:rsidR="00882290" w:rsidRPr="0088229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82290" w:rsidRPr="0088229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nghiệp</w:t>
            </w:r>
            <w:proofErr w:type="spellEnd"/>
            <w:r w:rsidR="00882290" w:rsidRPr="0088229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82290" w:rsidRPr="0088229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Crosstabulation</w:t>
            </w:r>
            <w:proofErr w:type="spellEnd"/>
          </w:p>
        </w:tc>
      </w:tr>
      <w:tr w:rsidR="00882290" w:rsidRPr="00882290" w:rsidTr="003B6E9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82" w:type="dxa"/>
            <w:gridSpan w:val="2"/>
            <w:vMerge w:val="restart"/>
            <w:shd w:val="clear" w:color="auto" w:fill="FFFFFF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255" w:type="dxa"/>
            <w:gridSpan w:val="5"/>
            <w:shd w:val="clear" w:color="auto" w:fill="FFFFFF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nghề</w:t>
            </w:r>
            <w:proofErr w:type="spellEnd"/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nghiệp</w:t>
            </w:r>
            <w:proofErr w:type="spellEnd"/>
          </w:p>
        </w:tc>
        <w:tc>
          <w:tcPr>
            <w:tcW w:w="1009" w:type="dxa"/>
            <w:vMerge w:val="restart"/>
            <w:shd w:val="clear" w:color="auto" w:fill="FFFFFF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Total</w:t>
            </w:r>
          </w:p>
        </w:tc>
      </w:tr>
      <w:tr w:rsidR="00882290" w:rsidRPr="00882290" w:rsidTr="003B6E9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82" w:type="dxa"/>
            <w:gridSpan w:val="2"/>
            <w:vMerge/>
            <w:shd w:val="clear" w:color="auto" w:fill="FFFFFF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010" w:type="dxa"/>
            <w:shd w:val="clear" w:color="auto" w:fill="FFFFFF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468" w:type="dxa"/>
            <w:shd w:val="clear" w:color="auto" w:fill="FFFFFF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Lao </w:t>
            </w:r>
            <w:proofErr w:type="spellStart"/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phổ</w:t>
            </w:r>
            <w:proofErr w:type="spellEnd"/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thôn</w:t>
            </w:r>
            <w:proofErr w:type="spellEnd"/>
          </w:p>
        </w:tc>
        <w:tc>
          <w:tcPr>
            <w:tcW w:w="1254" w:type="dxa"/>
            <w:shd w:val="clear" w:color="auto" w:fill="FFFFFF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</w:t>
            </w:r>
          </w:p>
        </w:tc>
        <w:tc>
          <w:tcPr>
            <w:tcW w:w="1055" w:type="dxa"/>
            <w:shd w:val="clear" w:color="auto" w:fill="FFFFFF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Giáo</w:t>
            </w:r>
            <w:proofErr w:type="spellEnd"/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68" w:type="dxa"/>
            <w:shd w:val="clear" w:color="auto" w:fill="FFFFFF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An </w:t>
            </w:r>
            <w:proofErr w:type="spellStart"/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ninh-quốc</w:t>
            </w:r>
            <w:proofErr w:type="spellEnd"/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1009" w:type="dxa"/>
            <w:vMerge/>
            <w:shd w:val="clear" w:color="auto" w:fill="FFFFFF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82290" w:rsidRPr="00882290" w:rsidTr="003B6E9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5" w:type="dxa"/>
            <w:vMerge w:val="restart"/>
            <w:shd w:val="clear" w:color="auto" w:fill="FFFFFF"/>
            <w:vAlign w:val="center"/>
          </w:tcPr>
          <w:p w:rsidR="00882290" w:rsidRPr="00882290" w:rsidRDefault="003B6E97" w:rsidP="008822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B5D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Thu </w:t>
            </w:r>
            <w:proofErr w:type="spellStart"/>
            <w:r w:rsidRPr="00AB5D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347" w:type="dxa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Dưới</w:t>
            </w:r>
            <w:proofErr w:type="spellEnd"/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4 </w:t>
            </w:r>
            <w:proofErr w:type="spellStart"/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triệu</w:t>
            </w:r>
            <w:proofErr w:type="spellEnd"/>
          </w:p>
        </w:tc>
        <w:tc>
          <w:tcPr>
            <w:tcW w:w="1010" w:type="dxa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1254" w:type="dxa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</w:t>
            </w:r>
          </w:p>
        </w:tc>
      </w:tr>
      <w:tr w:rsidR="00882290" w:rsidRPr="00882290" w:rsidTr="003B6E9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5" w:type="dxa"/>
            <w:vMerge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47" w:type="dxa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Từ</w:t>
            </w:r>
            <w:proofErr w:type="spellEnd"/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4- 8 </w:t>
            </w:r>
            <w:proofErr w:type="spellStart"/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triệu</w:t>
            </w:r>
            <w:proofErr w:type="spellEnd"/>
          </w:p>
        </w:tc>
        <w:tc>
          <w:tcPr>
            <w:tcW w:w="1010" w:type="dxa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54" w:type="dxa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</w:tr>
      <w:tr w:rsidR="00882290" w:rsidRPr="00882290" w:rsidTr="003B6E9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5" w:type="dxa"/>
            <w:vMerge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47" w:type="dxa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Từ</w:t>
            </w:r>
            <w:proofErr w:type="spellEnd"/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8-12 </w:t>
            </w:r>
            <w:proofErr w:type="spellStart"/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triệu</w:t>
            </w:r>
            <w:proofErr w:type="spellEnd"/>
          </w:p>
        </w:tc>
        <w:tc>
          <w:tcPr>
            <w:tcW w:w="1010" w:type="dxa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54" w:type="dxa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</w:t>
            </w:r>
          </w:p>
        </w:tc>
      </w:tr>
      <w:tr w:rsidR="00882290" w:rsidRPr="00882290" w:rsidTr="003B6E9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5" w:type="dxa"/>
            <w:vMerge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47" w:type="dxa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12triệu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54" w:type="dxa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33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</w:t>
            </w:r>
          </w:p>
        </w:tc>
      </w:tr>
      <w:tr w:rsidR="00882290" w:rsidRPr="00882290" w:rsidTr="003B6E9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82" w:type="dxa"/>
            <w:gridSpan w:val="2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Total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254" w:type="dxa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32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27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37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882290" w:rsidRPr="00882290" w:rsidRDefault="00882290" w:rsidP="008822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22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122</w:t>
            </w:r>
          </w:p>
        </w:tc>
      </w:tr>
    </w:tbl>
    <w:p w:rsidR="00882290" w:rsidRPr="00882290" w:rsidRDefault="00882290" w:rsidP="008822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6"/>
          <w:szCs w:val="26"/>
        </w:rPr>
      </w:pPr>
    </w:p>
    <w:p w:rsidR="003B6E97" w:rsidRPr="003B6E97" w:rsidRDefault="003B6E97" w:rsidP="003B6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59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055"/>
        <w:gridCol w:w="1009"/>
        <w:gridCol w:w="1468"/>
      </w:tblGrid>
      <w:tr w:rsidR="003B6E97" w:rsidRPr="003B6E97" w:rsidTr="003B6E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6E97" w:rsidRPr="003B6E97" w:rsidRDefault="003B6E97" w:rsidP="003B6E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Bảng</w:t>
            </w:r>
            <w:proofErr w:type="spellEnd"/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2.2: </w:t>
            </w:r>
            <w:r w:rsidRPr="003B6E9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Chi-Square Tests</w:t>
            </w:r>
          </w:p>
        </w:tc>
      </w:tr>
      <w:tr w:rsidR="003B6E97" w:rsidRPr="003B6E97" w:rsidTr="003B6E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6E97" w:rsidRPr="003B6E97" w:rsidRDefault="003B6E97" w:rsidP="003B6E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6E97" w:rsidRPr="003B6E97" w:rsidRDefault="003B6E97" w:rsidP="003B6E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B6E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Value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6E97" w:rsidRPr="003B6E97" w:rsidRDefault="003B6E97" w:rsidP="003B6E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B6E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6E97" w:rsidRPr="003B6E97" w:rsidRDefault="003B6E97" w:rsidP="003B6E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B6E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Asymp</w:t>
            </w:r>
            <w:proofErr w:type="spellEnd"/>
            <w:r w:rsidRPr="003B6E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Sig. (2-sided)</w:t>
            </w:r>
          </w:p>
        </w:tc>
      </w:tr>
      <w:tr w:rsidR="003B6E97" w:rsidRPr="003B6E97" w:rsidTr="003B6E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6E97" w:rsidRPr="003B6E97" w:rsidRDefault="003B6E97" w:rsidP="003B6E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B6E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Pearson Chi-Square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6E97" w:rsidRPr="003B6E97" w:rsidRDefault="003B6E97" w:rsidP="003B6E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B6E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307.042</w:t>
            </w:r>
            <w:r w:rsidRPr="003B6E97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  <w:t>a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6E97" w:rsidRPr="003B6E97" w:rsidRDefault="003B6E97" w:rsidP="003B6E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B6E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6E97" w:rsidRPr="003B6E97" w:rsidRDefault="003B6E97" w:rsidP="003B6E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B6E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.000</w:t>
            </w:r>
          </w:p>
        </w:tc>
      </w:tr>
      <w:tr w:rsidR="003B6E97" w:rsidRPr="003B6E97" w:rsidTr="003B6E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6E97" w:rsidRPr="003B6E97" w:rsidRDefault="003B6E97" w:rsidP="003B6E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B6E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Likelihood Ratio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6E97" w:rsidRPr="003B6E97" w:rsidRDefault="003B6E97" w:rsidP="003B6E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B6E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165.158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6E97" w:rsidRPr="003B6E97" w:rsidRDefault="003B6E97" w:rsidP="003B6E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B6E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6E97" w:rsidRPr="003B6E97" w:rsidRDefault="003B6E97" w:rsidP="003B6E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B6E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.000</w:t>
            </w:r>
          </w:p>
        </w:tc>
      </w:tr>
      <w:tr w:rsidR="003B6E97" w:rsidRPr="003B6E97" w:rsidTr="003B6E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6E97" w:rsidRPr="003B6E97" w:rsidRDefault="003B6E97" w:rsidP="003B6E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B6E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Linear-by-Linear Association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6E97" w:rsidRPr="003B6E97" w:rsidRDefault="003B6E97" w:rsidP="003B6E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B6E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59.998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6E97" w:rsidRPr="003B6E97" w:rsidRDefault="003B6E97" w:rsidP="003B6E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B6E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6E97" w:rsidRPr="003B6E97" w:rsidRDefault="003B6E97" w:rsidP="003B6E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B6E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.000</w:t>
            </w:r>
          </w:p>
        </w:tc>
      </w:tr>
      <w:tr w:rsidR="003B6E97" w:rsidRPr="003B6E97" w:rsidTr="003B6E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6E97" w:rsidRPr="003B6E97" w:rsidRDefault="003B6E97" w:rsidP="003B6E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B6E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 of Valid Cases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6E97" w:rsidRPr="003B6E97" w:rsidRDefault="003B6E97" w:rsidP="003B6E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B6E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122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6E97" w:rsidRPr="003B6E97" w:rsidRDefault="003B6E97" w:rsidP="003B6E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6E97" w:rsidRPr="003B6E97" w:rsidRDefault="003B6E97" w:rsidP="003B6E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E97" w:rsidRPr="003B6E97" w:rsidTr="003B6E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6E97" w:rsidRPr="003B6E97" w:rsidRDefault="003B6E97" w:rsidP="003B6E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B6E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a. 11 cells (44.0%) have expected count less than 5. The minimum expected count is .01.</w:t>
            </w:r>
          </w:p>
        </w:tc>
      </w:tr>
    </w:tbl>
    <w:p w:rsidR="003B6E97" w:rsidRPr="003B6E97" w:rsidRDefault="003B6E97" w:rsidP="003B6E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6"/>
          <w:szCs w:val="26"/>
        </w:rPr>
      </w:pPr>
    </w:p>
    <w:p w:rsidR="003B6E97" w:rsidRPr="00AB5D5B" w:rsidRDefault="003B6E97" w:rsidP="003B6E97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nghề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bả</w:t>
      </w:r>
      <w:r w:rsidRPr="00AB5D5B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2</w:t>
      </w:r>
      <w:r w:rsidRPr="00AB5D5B">
        <w:rPr>
          <w:rFonts w:ascii="Times New Roman" w:hAnsi="Times New Roman" w:cs="Times New Roman"/>
          <w:sz w:val="26"/>
          <w:szCs w:val="26"/>
        </w:rPr>
        <w:t xml:space="preserve">.1, ta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bả</w:t>
      </w:r>
      <w:r w:rsidRPr="00AB5D5B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B5D5B">
        <w:rPr>
          <w:rFonts w:ascii="Times New Roman" w:hAnsi="Times New Roman" w:cs="Times New Roman"/>
          <w:sz w:val="26"/>
          <w:szCs w:val="26"/>
        </w:rPr>
        <w:t>2</w:t>
      </w:r>
      <w:r w:rsidRPr="00AB5D5B">
        <w:rPr>
          <w:rFonts w:ascii="Times New Roman" w:hAnsi="Times New Roman" w:cs="Times New Roman"/>
          <w:sz w:val="26"/>
          <w:szCs w:val="26"/>
        </w:rPr>
        <w:t>.2 .</w:t>
      </w:r>
      <w:proofErr w:type="gram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B5D5B">
        <w:rPr>
          <w:rFonts w:ascii="Times New Roman" w:hAnsi="Times New Roman" w:cs="Times New Roman"/>
          <w:sz w:val="26"/>
          <w:szCs w:val="26"/>
        </w:rPr>
        <w:t>từ</w:t>
      </w:r>
      <w:proofErr w:type="spellEnd"/>
      <w:proofErr w:type="gram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r w:rsidRPr="00165F59">
        <w:rPr>
          <w:rFonts w:ascii="Times New Roman" w:hAnsi="Times New Roman" w:cs="Times New Roman"/>
          <w:color w:val="000000"/>
          <w:sz w:val="26"/>
          <w:szCs w:val="26"/>
        </w:rPr>
        <w:t>Pearson Chi-Square</w:t>
      </w:r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sig=0.000&lt; α=0.05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nên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đủ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chứng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bác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bỏ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giả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thuyết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H0, hay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nói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vốn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proofErr w:type="gram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proofErr w:type="gram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kê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882290" w:rsidRPr="00AB5D5B" w:rsidRDefault="003B6E97" w:rsidP="0036610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B5D5B">
        <w:rPr>
          <w:rFonts w:ascii="Times New Roman" w:hAnsi="Times New Roman" w:cs="Times New Roman"/>
          <w:sz w:val="26"/>
          <w:szCs w:val="26"/>
        </w:rPr>
        <w:lastRenderedPageBreak/>
        <w:t>Câu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3:</w:t>
      </w:r>
    </w:p>
    <w:p w:rsidR="00CA58F2" w:rsidRPr="00AB5D5B" w:rsidRDefault="00CA58F2" w:rsidP="00366105">
      <w:pPr>
        <w:jc w:val="both"/>
        <w:rPr>
          <w:rFonts w:ascii="Times New Roman" w:hAnsi="Times New Roman" w:cs="Times New Roman"/>
          <w:sz w:val="26"/>
          <w:szCs w:val="26"/>
        </w:rPr>
      </w:pPr>
      <w:r w:rsidRPr="00AB5D5B">
        <w:rPr>
          <w:rFonts w:ascii="Times New Roman" w:hAnsi="Times New Roman" w:cs="Times New Roman"/>
          <w:sz w:val="26"/>
          <w:szCs w:val="26"/>
        </w:rPr>
        <w:t xml:space="preserve">H0: </w:t>
      </w:r>
      <w:proofErr w:type="spellStart"/>
      <w:proofErr w:type="gramStart"/>
      <w:r w:rsidRPr="00AB5D5B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độ</w:t>
      </w:r>
      <w:proofErr w:type="spellEnd"/>
    </w:p>
    <w:p w:rsidR="00CA58F2" w:rsidRPr="00AB5D5B" w:rsidRDefault="00CA58F2" w:rsidP="00366105">
      <w:pPr>
        <w:jc w:val="both"/>
        <w:rPr>
          <w:rFonts w:ascii="Times New Roman" w:hAnsi="Times New Roman" w:cs="Times New Roman"/>
          <w:sz w:val="26"/>
          <w:szCs w:val="26"/>
        </w:rPr>
      </w:pPr>
      <w:r w:rsidRPr="00AB5D5B">
        <w:rPr>
          <w:rFonts w:ascii="Times New Roman" w:hAnsi="Times New Roman" w:cs="Times New Roman"/>
          <w:sz w:val="26"/>
          <w:szCs w:val="26"/>
        </w:rPr>
        <w:t>H1</w:t>
      </w:r>
      <w:proofErr w:type="gramStart"/>
      <w:r w:rsidRPr="00AB5D5B">
        <w:rPr>
          <w:rFonts w:ascii="Times New Roman" w:hAnsi="Times New Roman" w:cs="Times New Roman"/>
          <w:sz w:val="26"/>
          <w:szCs w:val="26"/>
        </w:rPr>
        <w:t>:thu</w:t>
      </w:r>
      <w:proofErr w:type="gram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A58F2" w:rsidRPr="00AB5D5B" w:rsidRDefault="00CA58F2" w:rsidP="0036610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A58F2" w:rsidRPr="00AB5D5B" w:rsidRDefault="00CA58F2" w:rsidP="0036610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A58F2" w:rsidRPr="00AB5D5B" w:rsidRDefault="00CA58F2" w:rsidP="0036610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A58F2" w:rsidRPr="00AB5D5B" w:rsidRDefault="00CA58F2" w:rsidP="0036610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B5D5B" w:rsidRPr="00AB5D5B" w:rsidRDefault="00AB5D5B" w:rsidP="00AB5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1"/>
        <w:gridCol w:w="1331"/>
        <w:gridCol w:w="1240"/>
        <w:gridCol w:w="1347"/>
        <w:gridCol w:w="1148"/>
        <w:gridCol w:w="1148"/>
        <w:gridCol w:w="1255"/>
        <w:gridCol w:w="1010"/>
      </w:tblGrid>
      <w:tr w:rsidR="00AB5D5B" w:rsidRPr="00AB5D5B" w:rsidTr="00AB5D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5" w:type="dxa"/>
            <w:gridSpan w:val="8"/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Bảng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3.1;</w:t>
            </w:r>
            <w:r w:rsidRPr="00AB5D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trình </w:t>
            </w:r>
            <w:proofErr w:type="spellStart"/>
            <w:r w:rsidRPr="00AB5D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độ</w:t>
            </w:r>
            <w:proofErr w:type="spellEnd"/>
            <w:r w:rsidRPr="00AB5D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 * </w:t>
            </w:r>
            <w:proofErr w:type="spellStart"/>
            <w:r w:rsidRPr="00AB5D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thu</w:t>
            </w:r>
            <w:proofErr w:type="spellEnd"/>
            <w:r w:rsidRPr="00AB5D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B5D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nhập</w:t>
            </w:r>
            <w:proofErr w:type="spellEnd"/>
            <w:r w:rsidRPr="00AB5D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B5D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Crosstabulation</w:t>
            </w:r>
            <w:proofErr w:type="spellEnd"/>
          </w:p>
        </w:tc>
      </w:tr>
      <w:tr w:rsidR="00AB5D5B" w:rsidRPr="00AB5D5B" w:rsidTr="00AB5D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5" w:type="dxa"/>
            <w:gridSpan w:val="8"/>
            <w:shd w:val="clear" w:color="auto" w:fill="FFFFFF"/>
            <w:vAlign w:val="bottom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</w:tr>
      <w:tr w:rsidR="00AB5D5B" w:rsidRPr="00AB5D5B" w:rsidTr="00AB5D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3" w:type="dxa"/>
            <w:gridSpan w:val="2"/>
            <w:vMerge w:val="restart"/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133" w:type="dxa"/>
            <w:gridSpan w:val="5"/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thu</w:t>
            </w:r>
            <w:proofErr w:type="spellEnd"/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nhập</w:t>
            </w:r>
            <w:proofErr w:type="spellEnd"/>
          </w:p>
        </w:tc>
        <w:tc>
          <w:tcPr>
            <w:tcW w:w="1009" w:type="dxa"/>
            <w:vMerge w:val="restart"/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AB5D5B" w:rsidRPr="00AB5D5B" w:rsidTr="00AB5D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3" w:type="dxa"/>
            <w:gridSpan w:val="2"/>
            <w:vMerge/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9" w:type="dxa"/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"</w:t>
            </w:r>
            <w:proofErr w:type="spellStart"/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Dưới</w:t>
            </w:r>
            <w:proofErr w:type="spellEnd"/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 xml:space="preserve"> 300$</w:t>
            </w:r>
          </w:p>
        </w:tc>
        <w:tc>
          <w:tcPr>
            <w:tcW w:w="1346" w:type="dxa"/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="</w:t>
            </w:r>
            <w:proofErr w:type="spellStart"/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Dưới</w:t>
            </w:r>
            <w:proofErr w:type="spellEnd"/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 xml:space="preserve"> 300$</w:t>
            </w:r>
          </w:p>
        </w:tc>
        <w:tc>
          <w:tcPr>
            <w:tcW w:w="1147" w:type="dxa"/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500-700$"</w:t>
            </w:r>
          </w:p>
        </w:tc>
        <w:tc>
          <w:tcPr>
            <w:tcW w:w="1147" w:type="dxa"/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700-900$"</w:t>
            </w:r>
          </w:p>
        </w:tc>
        <w:tc>
          <w:tcPr>
            <w:tcW w:w="1254" w:type="dxa"/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"</w:t>
            </w:r>
            <w:proofErr w:type="spellStart"/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Trên</w:t>
            </w:r>
            <w:proofErr w:type="spellEnd"/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 xml:space="preserve"> 900$"</w:t>
            </w:r>
          </w:p>
        </w:tc>
        <w:tc>
          <w:tcPr>
            <w:tcW w:w="1009" w:type="dxa"/>
            <w:vMerge/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B5D5B" w:rsidRPr="00AB5D5B" w:rsidTr="00AB5D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" w:type="dxa"/>
            <w:vMerge w:val="restart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trình</w:t>
            </w:r>
            <w:proofErr w:type="spellEnd"/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độ</w:t>
            </w:r>
            <w:proofErr w:type="spellEnd"/>
          </w:p>
        </w:tc>
        <w:tc>
          <w:tcPr>
            <w:tcW w:w="1331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"</w:t>
            </w:r>
            <w:proofErr w:type="spellStart"/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Cấp</w:t>
            </w:r>
            <w:proofErr w:type="spellEnd"/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 xml:space="preserve"> 1"</w:t>
            </w:r>
          </w:p>
        </w:tc>
        <w:tc>
          <w:tcPr>
            <w:tcW w:w="1239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46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7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7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4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AB5D5B" w:rsidRPr="00AB5D5B" w:rsidTr="00AB5D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" w:type="dxa"/>
            <w:vMerge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"</w:t>
            </w:r>
            <w:proofErr w:type="spellStart"/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Cấp</w:t>
            </w:r>
            <w:proofErr w:type="spellEnd"/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 xml:space="preserve"> 2"</w:t>
            </w:r>
          </w:p>
        </w:tc>
        <w:tc>
          <w:tcPr>
            <w:tcW w:w="1239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46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47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7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4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AB5D5B" w:rsidRPr="00AB5D5B" w:rsidTr="00AB5D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" w:type="dxa"/>
            <w:vMerge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Cấp</w:t>
            </w:r>
            <w:proofErr w:type="spellEnd"/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 xml:space="preserve"> 3"</w:t>
            </w:r>
          </w:p>
        </w:tc>
        <w:tc>
          <w:tcPr>
            <w:tcW w:w="1239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46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47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47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4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AB5D5B" w:rsidRPr="00AB5D5B" w:rsidTr="00AB5D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" w:type="dxa"/>
            <w:vMerge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="TC-CD"</w:t>
            </w:r>
          </w:p>
        </w:tc>
        <w:tc>
          <w:tcPr>
            <w:tcW w:w="1239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46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7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47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4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AB5D5B" w:rsidRPr="00AB5D5B" w:rsidTr="00AB5D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" w:type="dxa"/>
            <w:vMerge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DH-</w:t>
            </w:r>
            <w:proofErr w:type="spellStart"/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Sau</w:t>
            </w:r>
            <w:proofErr w:type="spellEnd"/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 xml:space="preserve"> DH"</w:t>
            </w:r>
          </w:p>
        </w:tc>
        <w:tc>
          <w:tcPr>
            <w:tcW w:w="1239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46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7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7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54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</w:tr>
      <w:tr w:rsidR="00AB5D5B" w:rsidRPr="00AB5D5B" w:rsidTr="00AB5D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3" w:type="dxa"/>
            <w:gridSpan w:val="2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39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46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47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47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4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</w:tr>
    </w:tbl>
    <w:p w:rsidR="00AB5D5B" w:rsidRPr="00AB5D5B" w:rsidRDefault="00AB5D5B" w:rsidP="00AB5D5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A58F2" w:rsidRPr="00CA58F2" w:rsidRDefault="00CA58F2" w:rsidP="00CA5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B5D5B" w:rsidRPr="00AB5D5B" w:rsidRDefault="00AB5D5B" w:rsidP="00AB5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6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6"/>
        <w:gridCol w:w="963"/>
        <w:gridCol w:w="1009"/>
        <w:gridCol w:w="1469"/>
        <w:gridCol w:w="1131"/>
        <w:gridCol w:w="1254"/>
      </w:tblGrid>
      <w:tr w:rsidR="00AB5D5B" w:rsidRPr="00AB5D5B" w:rsidTr="00AB5D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B5D5B" w:rsidRPr="00AB5D5B" w:rsidRDefault="00CA30F0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BẢNG 3.2: </w:t>
            </w:r>
            <w:r w:rsidR="00AB5D5B" w:rsidRPr="00AB5D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Symmetric Measures</w:t>
            </w:r>
          </w:p>
        </w:tc>
      </w:tr>
      <w:tr w:rsidR="00AB5D5B" w:rsidRPr="00AB5D5B" w:rsidTr="00AB5D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Asymp</w:t>
            </w:r>
            <w:proofErr w:type="spellEnd"/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 xml:space="preserve">. Std. </w:t>
            </w:r>
            <w:proofErr w:type="spellStart"/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Error</w:t>
            </w:r>
            <w:r w:rsidRPr="00AB5D5B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Approx. T</w:t>
            </w:r>
            <w:r w:rsidRPr="00AB5D5B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Approx. Sig.</w:t>
            </w:r>
          </w:p>
        </w:tc>
      </w:tr>
      <w:tr w:rsidR="00AB5D5B" w:rsidRPr="00AB5D5B" w:rsidTr="00AB5D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Ordinal by Ordinal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Gamma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.982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.013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38.107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AB5D5B" w:rsidRPr="00AB5D5B" w:rsidTr="00AB5D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N of Valid Cases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5D5B" w:rsidRPr="00AB5D5B" w:rsidTr="00AB5D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a. Not assuming the null hypothesis.</w:t>
            </w:r>
          </w:p>
        </w:tc>
      </w:tr>
      <w:tr w:rsidR="00AB5D5B" w:rsidRPr="00AB5D5B" w:rsidTr="00AB5D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5D5B">
              <w:rPr>
                <w:rFonts w:ascii="Arial" w:hAnsi="Arial" w:cs="Arial"/>
                <w:color w:val="000000"/>
                <w:sz w:val="18"/>
                <w:szCs w:val="18"/>
              </w:rPr>
              <w:t>b. Using the asymptotic standard error assuming the null hypothesis.</w:t>
            </w:r>
          </w:p>
        </w:tc>
      </w:tr>
    </w:tbl>
    <w:p w:rsidR="00AB5D5B" w:rsidRPr="00AB5D5B" w:rsidRDefault="00AB5D5B" w:rsidP="00AB5D5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A58F2" w:rsidRPr="00CA58F2" w:rsidRDefault="00CA58F2" w:rsidP="00CA5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A58F2" w:rsidRPr="00AB5D5B" w:rsidRDefault="00AB5D5B" w:rsidP="00AB5D5B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nghề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bả</w:t>
      </w:r>
      <w:r w:rsidRPr="00AB5D5B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3</w:t>
      </w:r>
      <w:r w:rsidRPr="00AB5D5B">
        <w:rPr>
          <w:rFonts w:ascii="Times New Roman" w:hAnsi="Times New Roman" w:cs="Times New Roman"/>
          <w:sz w:val="26"/>
          <w:szCs w:val="26"/>
        </w:rPr>
        <w:t xml:space="preserve">.1, ta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bả</w:t>
      </w:r>
      <w:r w:rsidRPr="00AB5D5B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B5D5B">
        <w:rPr>
          <w:rFonts w:ascii="Times New Roman" w:hAnsi="Times New Roman" w:cs="Times New Roman"/>
          <w:sz w:val="26"/>
          <w:szCs w:val="26"/>
        </w:rPr>
        <w:t>3</w:t>
      </w:r>
      <w:r w:rsidRPr="00AB5D5B">
        <w:rPr>
          <w:rFonts w:ascii="Times New Roman" w:hAnsi="Times New Roman" w:cs="Times New Roman"/>
          <w:sz w:val="26"/>
          <w:szCs w:val="26"/>
        </w:rPr>
        <w:t>.2 .</w:t>
      </w:r>
      <w:proofErr w:type="gram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B5D5B">
        <w:rPr>
          <w:rFonts w:ascii="Times New Roman" w:hAnsi="Times New Roman" w:cs="Times New Roman"/>
          <w:sz w:val="26"/>
          <w:szCs w:val="26"/>
        </w:rPr>
        <w:t>từ</w:t>
      </w:r>
      <w:proofErr w:type="spellEnd"/>
      <w:proofErr w:type="gram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r w:rsidR="00CA30F0">
        <w:rPr>
          <w:rFonts w:ascii="Times New Roman" w:hAnsi="Times New Roman" w:cs="Times New Roman"/>
          <w:color w:val="000000"/>
          <w:sz w:val="26"/>
          <w:szCs w:val="26"/>
        </w:rPr>
        <w:t xml:space="preserve">GAMMA </w:t>
      </w:r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sig=0.000&lt; α=0.05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nên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đủ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chứng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bác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bỏ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giả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thuyết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H0, hay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nói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thu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proofErr w:type="gram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proofErr w:type="gram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kê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AB5D5B" w:rsidRPr="00AB5D5B" w:rsidRDefault="00AB5D5B" w:rsidP="00AB5D5B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Câu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4: H0: µ</w:t>
      </w:r>
      <w:r w:rsidR="00CA30F0">
        <w:rPr>
          <w:rFonts w:ascii="Times New Roman" w:hAnsi="Times New Roman" w:cs="Times New Roman"/>
          <w:color w:val="000000"/>
          <w:sz w:val="26"/>
          <w:szCs w:val="26"/>
        </w:rPr>
        <w:t>=368</w:t>
      </w:r>
    </w:p>
    <w:p w:rsidR="00AB5D5B" w:rsidRDefault="00AB5D5B" w:rsidP="00AB5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D5B">
        <w:rPr>
          <w:rFonts w:ascii="Times New Roman" w:hAnsi="Times New Roman" w:cs="Times New Roman"/>
          <w:sz w:val="26"/>
          <w:szCs w:val="26"/>
        </w:rPr>
        <w:t>H1: µ≠368</w:t>
      </w:r>
    </w:p>
    <w:p w:rsidR="00CA30F0" w:rsidRDefault="00CA30F0" w:rsidP="00AB5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A30F0" w:rsidRDefault="00CA30F0" w:rsidP="00AB5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A30F0" w:rsidRPr="00AB5D5B" w:rsidRDefault="00CA30F0" w:rsidP="00AB5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6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5"/>
        <w:gridCol w:w="1009"/>
        <w:gridCol w:w="1071"/>
        <w:gridCol w:w="1423"/>
        <w:gridCol w:w="1469"/>
      </w:tblGrid>
      <w:tr w:rsidR="00AB5D5B" w:rsidRPr="00AB5D5B" w:rsidTr="00AB5D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84" w:type="dxa"/>
            <w:gridSpan w:val="5"/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4.1:</w:t>
            </w:r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One-Sample Statistics</w:t>
            </w:r>
          </w:p>
        </w:tc>
      </w:tr>
      <w:tr w:rsidR="00AB5D5B" w:rsidRPr="00AB5D5B" w:rsidTr="00AB5D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5" w:type="dxa"/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009" w:type="dxa"/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B5D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</w:p>
        </w:tc>
        <w:tc>
          <w:tcPr>
            <w:tcW w:w="1070" w:type="dxa"/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B5D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Mean</w:t>
            </w:r>
          </w:p>
        </w:tc>
        <w:tc>
          <w:tcPr>
            <w:tcW w:w="1422" w:type="dxa"/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B5D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Std. Deviation</w:t>
            </w:r>
          </w:p>
        </w:tc>
        <w:tc>
          <w:tcPr>
            <w:tcW w:w="1468" w:type="dxa"/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B5D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Std. Error Mean</w:t>
            </w:r>
          </w:p>
        </w:tc>
      </w:tr>
      <w:tr w:rsidR="00AB5D5B" w:rsidRPr="00AB5D5B" w:rsidTr="00AB5D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5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B5D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trongluowng</w:t>
            </w:r>
            <w:proofErr w:type="spellEnd"/>
          </w:p>
        </w:tc>
        <w:tc>
          <w:tcPr>
            <w:tcW w:w="1009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B5D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070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B5D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369.2800</w:t>
            </w:r>
          </w:p>
        </w:tc>
        <w:tc>
          <w:tcPr>
            <w:tcW w:w="1422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B5D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1.20830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B5D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.24166</w:t>
            </w:r>
          </w:p>
        </w:tc>
      </w:tr>
    </w:tbl>
    <w:p w:rsidR="00AB5D5B" w:rsidRPr="00AB5D5B" w:rsidRDefault="00AB5D5B" w:rsidP="00AB5D5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6"/>
          <w:szCs w:val="26"/>
        </w:rPr>
      </w:pPr>
    </w:p>
    <w:p w:rsidR="00AB5D5B" w:rsidRPr="00AB5D5B" w:rsidRDefault="00AB5D5B" w:rsidP="00AB5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1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5"/>
        <w:gridCol w:w="1009"/>
        <w:gridCol w:w="1009"/>
        <w:gridCol w:w="1392"/>
        <w:gridCol w:w="1469"/>
        <w:gridCol w:w="1469"/>
        <w:gridCol w:w="1469"/>
      </w:tblGrid>
      <w:tr w:rsidR="00AB5D5B" w:rsidRPr="00AB5D5B" w:rsidTr="00AB5D5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128" w:type="dxa"/>
            <w:gridSpan w:val="7"/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4.2: </w:t>
            </w:r>
            <w:r w:rsidRPr="00AB5D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One-Sample Test</w:t>
            </w:r>
          </w:p>
        </w:tc>
      </w:tr>
      <w:tr w:rsidR="00AB5D5B" w:rsidRPr="00AB5D5B" w:rsidTr="00AB5D5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15" w:type="dxa"/>
            <w:vMerge w:val="restart"/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813" w:type="dxa"/>
            <w:gridSpan w:val="6"/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B5D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Value = 368</w:t>
            </w:r>
          </w:p>
        </w:tc>
      </w:tr>
      <w:tr w:rsidR="00AB5D5B" w:rsidRPr="00AB5D5B" w:rsidTr="00AB5D5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15" w:type="dxa"/>
            <w:vMerge/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009" w:type="dxa"/>
            <w:vMerge w:val="restart"/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B5D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</w:p>
        </w:tc>
        <w:tc>
          <w:tcPr>
            <w:tcW w:w="1009" w:type="dxa"/>
            <w:vMerge w:val="restart"/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B5D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df</w:t>
            </w:r>
            <w:proofErr w:type="spellEnd"/>
          </w:p>
        </w:tc>
        <w:tc>
          <w:tcPr>
            <w:tcW w:w="1391" w:type="dxa"/>
            <w:vMerge w:val="restart"/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B5D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Sig. (2-tailed)</w:t>
            </w:r>
          </w:p>
        </w:tc>
        <w:tc>
          <w:tcPr>
            <w:tcW w:w="1468" w:type="dxa"/>
            <w:vMerge w:val="restart"/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B5D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Mean Difference</w:t>
            </w:r>
          </w:p>
        </w:tc>
        <w:tc>
          <w:tcPr>
            <w:tcW w:w="2936" w:type="dxa"/>
            <w:gridSpan w:val="2"/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B5D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95% Confidence Interval of the Difference</w:t>
            </w:r>
          </w:p>
        </w:tc>
      </w:tr>
      <w:tr w:rsidR="00AB5D5B" w:rsidRPr="00AB5D5B" w:rsidTr="00AB5D5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15" w:type="dxa"/>
            <w:vMerge/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009" w:type="dxa"/>
            <w:vMerge/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009" w:type="dxa"/>
            <w:vMerge/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1" w:type="dxa"/>
            <w:vMerge/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68" w:type="dxa"/>
            <w:vMerge/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68" w:type="dxa"/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B5D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Lower</w:t>
            </w:r>
          </w:p>
        </w:tc>
        <w:tc>
          <w:tcPr>
            <w:tcW w:w="1468" w:type="dxa"/>
            <w:shd w:val="clear" w:color="auto" w:fill="FFFFFF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B5D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Upper</w:t>
            </w:r>
          </w:p>
        </w:tc>
      </w:tr>
      <w:tr w:rsidR="00AB5D5B" w:rsidRPr="00AB5D5B" w:rsidTr="00AB5D5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15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trongluo</w:t>
            </w:r>
            <w:r w:rsidRPr="00AB5D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1009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B5D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5.297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B5D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391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B5D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.000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B5D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1.28000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B5D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.7812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AB5D5B" w:rsidRPr="00AB5D5B" w:rsidRDefault="00AB5D5B" w:rsidP="00AB5D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B5D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1.7788</w:t>
            </w:r>
          </w:p>
        </w:tc>
      </w:tr>
    </w:tbl>
    <w:p w:rsidR="00AB5D5B" w:rsidRPr="00AB5D5B" w:rsidRDefault="00AB5D5B" w:rsidP="00AB5D5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6"/>
          <w:szCs w:val="26"/>
        </w:rPr>
      </w:pPr>
    </w:p>
    <w:p w:rsidR="00CA30F0" w:rsidRPr="00AB5D5B" w:rsidRDefault="00CA30F0" w:rsidP="00CA30F0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bả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</w:t>
      </w:r>
      <w:r w:rsidRPr="00AB5D5B">
        <w:rPr>
          <w:rFonts w:ascii="Times New Roman" w:hAnsi="Times New Roman" w:cs="Times New Roman"/>
          <w:sz w:val="26"/>
          <w:szCs w:val="26"/>
        </w:rPr>
        <w:t xml:space="preserve">.1, ta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bả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4</w:t>
      </w:r>
      <w:r w:rsidRPr="00AB5D5B">
        <w:rPr>
          <w:rFonts w:ascii="Times New Roman" w:hAnsi="Times New Roman" w:cs="Times New Roman"/>
          <w:sz w:val="26"/>
          <w:szCs w:val="26"/>
        </w:rPr>
        <w:t>.2 .</w:t>
      </w:r>
      <w:proofErr w:type="gram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B5D5B">
        <w:rPr>
          <w:rFonts w:ascii="Times New Roman" w:hAnsi="Times New Roman" w:cs="Times New Roman"/>
          <w:sz w:val="26"/>
          <w:szCs w:val="26"/>
        </w:rPr>
        <w:t>từ</w:t>
      </w:r>
      <w:proofErr w:type="spellEnd"/>
      <w:proofErr w:type="gram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B5D5B">
        <w:rPr>
          <w:rFonts w:ascii="Times New Roman" w:hAnsi="Times New Roman" w:cs="Times New Roman"/>
          <w:sz w:val="26"/>
          <w:szCs w:val="26"/>
        </w:rPr>
        <w:t xml:space="preserve"> </w:t>
      </w:r>
      <w:r w:rsidRPr="00AB5D5B">
        <w:rPr>
          <w:rFonts w:ascii="Times New Roman" w:hAnsi="Times New Roman" w:cs="Times New Roman"/>
          <w:b/>
          <w:bCs/>
          <w:color w:val="000000"/>
          <w:sz w:val="26"/>
          <w:szCs w:val="26"/>
        </w:rPr>
        <w:t>One-Sample Statistics</w:t>
      </w:r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z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anpha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/2=1,96&gt;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ztt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=1,5nên ta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đủ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chứng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bác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bỏ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giả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thuyết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H0, hay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nói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5D5B">
        <w:rPr>
          <w:rFonts w:ascii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AB5D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hộp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ngũ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cốc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368g.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tuy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kê</w:t>
      </w:r>
      <w:proofErr w:type="spellEnd"/>
    </w:p>
    <w:p w:rsidR="00AB5D5B" w:rsidRPr="00AB5D5B" w:rsidRDefault="00AB5D5B" w:rsidP="00AB5D5B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sectPr w:rsidR="00AB5D5B" w:rsidRPr="00AB5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E7141"/>
    <w:multiLevelType w:val="hybridMultilevel"/>
    <w:tmpl w:val="79A65F72"/>
    <w:lvl w:ilvl="0" w:tplc="6DBC52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0A70EAA"/>
    <w:multiLevelType w:val="hybridMultilevel"/>
    <w:tmpl w:val="79A65F72"/>
    <w:lvl w:ilvl="0" w:tplc="6DBC52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48227B3"/>
    <w:multiLevelType w:val="hybridMultilevel"/>
    <w:tmpl w:val="5AE2E484"/>
    <w:lvl w:ilvl="0" w:tplc="43B04A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305760"/>
    <w:multiLevelType w:val="hybridMultilevel"/>
    <w:tmpl w:val="B96E24AC"/>
    <w:lvl w:ilvl="0" w:tplc="FEDA84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E2"/>
    <w:rsid w:val="00095E9A"/>
    <w:rsid w:val="00165F59"/>
    <w:rsid w:val="00207ADC"/>
    <w:rsid w:val="002D06A0"/>
    <w:rsid w:val="00366105"/>
    <w:rsid w:val="003B6E97"/>
    <w:rsid w:val="003C04E2"/>
    <w:rsid w:val="00533D0A"/>
    <w:rsid w:val="00882290"/>
    <w:rsid w:val="00AB5D5B"/>
    <w:rsid w:val="00AF3778"/>
    <w:rsid w:val="00CA30F0"/>
    <w:rsid w:val="00CA58F2"/>
    <w:rsid w:val="00DA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43117-89BD-4ED6-B21D-7D02F110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E8ADE-5959-4565-AFAD-34AEAE1F1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2024-09-27T07:53:00Z</dcterms:created>
  <dcterms:modified xsi:type="dcterms:W3CDTF">2024-09-27T07:53:00Z</dcterms:modified>
</cp:coreProperties>
</file>