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1"/>
        </w:numPr>
        <w:spacing w:after="80" w:before="40" w:line="260"/>
      </w:pPr>
      <w:r>
        <w:rPr>
          <w:rFonts w:ascii="Times New Roman" w:cs="Times New Roman" w:eastAsia="Times New Roman" w:hAnsi="Times New Roman"/>
          <w:b/>
          <w:bCs/>
          <w:color w:val="262626"/>
          <w:sz w:val="24"/>
          <w:szCs w:val="24"/>
        </w:rPr>
        <w:t xml:space="preserve">Thất thoát và khó kiểm soát linh kiện tồn kho: </w:t>
      </w:r>
      <w:r>
        <w:rPr>
          <w:rFonts w:ascii="Times New Roman" w:cs="Times New Roman" w:eastAsia="Times New Roman" w:hAnsi="Times New Roman"/>
          <w:color w:val="262626"/>
          <w:sz w:val="24"/>
          <w:szCs w:val="24"/>
        </w:rPr>
        <w:t xml:space="preserve">Linh kiện điện tử (màn hình, pin, RAM, bo mạch, camera) có giá trị cao và mã định danh phức tạp (Serial/IMEI). Việc quản lý kho thiếu công cụ theo dõi chính xác từng Serial/IMEI khiến trung tâm dễ rơi vào tình trạng thất thoát linh kiện, tồn kho ảo hoặc thiếu hụt linh kiện khi cần thay thế.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2026-08-26T15:15:17.399Z</dcterms:created>
  <dcterms:modified xsi:type="dcterms:W3CDTF">2026-08-26T15:15:17.399Z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