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ListParagraph"/>
        <w:numPr>
          <w:ilvl w:val="0"/>
          <w:numId w:val="1"/>
        </w:numPr>
        <w:spacing w:after="80" w:before="40" w:line="260"/>
      </w:pPr>
      <w:r>
        <w:rPr>
          <w:rFonts w:ascii="Times New Roman" w:cs="Times New Roman" w:eastAsia="Times New Roman" w:hAnsi="Times New Roman"/>
          <w:b/>
          <w:bCs/>
          <w:color w:val="262626"/>
          <w:sz w:val="24"/>
          <w:szCs w:val="24"/>
        </w:rPr>
        <w:t xml:space="preserve">Phương pháp khảo sát thực tế: </w:t>
      </w:r>
      <w:r>
        <w:rPr>
          <w:rFonts w:ascii="Times New Roman" w:cs="Times New Roman" w:eastAsia="Times New Roman" w:hAnsi="Times New Roman"/>
          <w:color w:val="262626"/>
          <w:sz w:val="24"/>
          <w:szCs w:val="24"/>
        </w:rPr>
        <w:t xml:space="preserve">Khảo sát quy trình làm việc thực tế tại các trung tâm sửa chữa điện thoại/máy tính uy tín, ghi nhận các lỗi thường gặp trong quản lý kho và giao tiếp với khách hàng.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2026-08-26T15:16:29.920Z</dcterms:created>
  <dcterms:modified xsi:type="dcterms:W3CDTF">2026-08-26T15:16:29.920Z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