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2F5597" w:sz="24"/>
              <w:bottom w:val="none" w:color="auto" w:sz="0"/>
              <w:right w:val="none" w:color="auto" w:sz="0"/>
            </w:tcBorders>
            <w:shd w:fill="EBF1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8"/>
                <w:sz w:val="24"/>
                <w:szCs w:val="24"/>
              </w:rPr>
              <w:t xml:space="preserve">📌 TỔNG QUAN TÀI LIỆU BÁO CÁO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262626"/>
                <w:sz w:val="22"/>
                <w:szCs w:val="22"/>
              </w:rPr>
              <w:t xml:space="preserve">Tài liệu này được biên soạn theo đúng quy chuẩn báo cáo khoa học / đồ án tốt nghiệp.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262626"/>
                <w:sz w:val="22"/>
                <w:szCs w:val="22"/>
              </w:rPr>
              <w:t xml:space="preserve">Nội dung bao gồm 5 chương phân tích chi tiết từ tổng quan thị trường, cơ sở công nghệ, phân tích thiết kế Use Case &amp; Database, triển khai mã nguồn Clean Architecture đến kiểm thử thực nghiệm.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2026-08-26T15:16:38.171Z</dcterms:created>
  <dcterms:modified xsi:type="dcterms:W3CDTF">2026-08-26T15:16:38.171Z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