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ype="page"/>
      </w:r>
    </w:p>
    <w:p>
      <w:pPr>
        <w:pStyle w:val="Heading1"/>
        <w:spacing w:after="180" w:before="360"/>
      </w:pPr>
      <w:r>
        <w:rPr>
          <w:rFonts w:ascii="Times New Roman" w:cs="Times New Roman" w:eastAsia="Times New Roman" w:hAnsi="Times New Roman"/>
          <w:b/>
          <w:bCs/>
          <w:color w:val="1F4E78"/>
          <w:sz w:val="30"/>
          <w:szCs w:val="30"/>
        </w:rPr>
        <w:t xml:space="preserve">Chương 1. TỔNG QUAN ĐỀ TÀI VÀ KHẢO SÁT HỆ THỐNG</w:t>
      </w:r>
    </w:p>
    <w:p>
      <w:pPr>
        <w:pStyle w:val="Heading2"/>
        <w:spacing w:after="140" w:before="280"/>
      </w:pPr>
      <w:r>
        <w:rPr>
          <w:rFonts w:ascii="Times New Roman" w:cs="Times New Roman" w:eastAsia="Times New Roman" w:hAnsi="Times New Roman"/>
          <w:b/>
          <w:bCs/>
          <w:color w:val="2F5597"/>
          <w:sz w:val="26"/>
          <w:szCs w:val="26"/>
        </w:rPr>
        <w:t xml:space="preserve">1.1. Đặt vấn đề và tình hình ứng dụng công nghệ trong quản lý dịch vụ sửa chữa</w:t>
      </w:r>
    </w:p>
    <w:p>
      <w:pPr>
        <w:pStyle w:val="Heading3"/>
        <w:spacing w:after="100" w:before="200"/>
      </w:pPr>
      <w:r>
        <w:rPr>
          <w:rFonts w:ascii="Times New Roman" w:cs="Times New Roman" w:eastAsia="Times New Roman" w:hAnsi="Times New Roman"/>
          <w:b/>
          <w:bCs/>
          <w:color w:val="262626"/>
          <w:sz w:val="24"/>
          <w:szCs w:val="24"/>
        </w:rPr>
        <w:t xml:space="preserve">1.1.1. Tình hình ứng dụng trong nước</w:t>
      </w:r>
    </w:p>
    <w:p>
      <w:pPr>
        <w:spacing w:after="120" w:before="60" w:line="280"/>
      </w:pPr>
      <w:r>
        <w:rPr>
          <w:rFonts w:ascii="Times New Roman" w:cs="Times New Roman" w:eastAsia="Times New Roman" w:hAnsi="Times New Roman"/>
          <w:color w:val="262626"/>
          <w:sz w:val="24"/>
          <w:szCs w:val="24"/>
        </w:rPr>
        <w:t xml:space="preserve">Tại Việt Nam, ngành dịch vụ bảo hành và sửa chữa thiết bị công nghệ điện tử phát triển với tốc độ nhanh chóng nhờ vào sự phổ biến của các dòng sản phẩm di động thông minh, laptop cá nhân và thiết bị gia dụng điện tử. Hầu hết các trung tâm lớn như Điện Máy Xanh, FPT Shop, CellphoneS (Snet) đều đã đầu tư các hệ thống phần mềm quản lý bảo hành chuyên biệt được tích hợp sẵn với hệ thống ERP tổng thể của doanh nghiệp.</w:t>
      </w:r>
    </w:p>
    <w:p>
      <w:pPr>
        <w:spacing w:after="120" w:before="60" w:line="280"/>
      </w:pPr>
      <w:r>
        <w:rPr>
          <w:rFonts w:ascii="Times New Roman" w:cs="Times New Roman" w:eastAsia="Times New Roman" w:hAnsi="Times New Roman"/>
          <w:color w:val="262626"/>
          <w:sz w:val="24"/>
          <w:szCs w:val="24"/>
        </w:rPr>
        <w:t xml:space="preserve">Tuy nhiên, phân khúc thị trường với hàng nghìn cửa hàng, chuỗi trung tâm sửa chữa vừa và nhỏ (SME) lại đang gặp khủng hoảng về giải pháp chuyển đổi số. Theo khảo sát thực tế tại các tuyến đường tập trung dịch vụ phần cứng điện tử tại TP.HCM và Hà Nội, hơn 75% cửa hàng vẫn sử dụng các phương thức ghi nhận truyền thống:</w:t>
      </w:r>
    </w:p>
    <w:p>
      <w:pPr>
        <w:pStyle w:val="ListParagraph"/>
        <w:numPr>
          <w:ilvl w:val="0"/>
          <w:numId w:val="1"/>
        </w:numPr>
        <w:spacing w:after="80" w:before="40" w:line="260"/>
      </w:pPr>
      <w:r>
        <w:rPr>
          <w:rFonts w:ascii="Times New Roman" w:cs="Times New Roman" w:eastAsia="Times New Roman" w:hAnsi="Times New Roman"/>
          <w:b/>
          <w:bCs/>
          <w:color w:val="262626"/>
          <w:sz w:val="24"/>
          <w:szCs w:val="24"/>
        </w:rPr>
        <w:t xml:space="preserve">Sổ biên nhận giấy và hóa đơn viết tay: </w:t>
      </w:r>
      <w:r>
        <w:rPr>
          <w:rFonts w:ascii="Times New Roman" w:cs="Times New Roman" w:eastAsia="Times New Roman" w:hAnsi="Times New Roman"/>
          <w:color w:val="262626"/>
          <w:sz w:val="24"/>
          <w:szCs w:val="24"/>
        </w:rPr>
        <w:t xml:space="preserve">Dễ gây thất lạc thông tin, sai sót mã thiết bị, và không thể tra cứu khi biên nhận bị rách hoặc mất.</w:t>
      </w:r>
    </w:p>
    <w:p>
      <w:pPr>
        <w:pStyle w:val="ListParagraph"/>
        <w:numPr>
          <w:ilvl w:val="0"/>
          <w:numId w:val="1"/>
        </w:numPr>
        <w:spacing w:after="80" w:before="40" w:line="260"/>
      </w:pPr>
      <w:r>
        <w:rPr>
          <w:rFonts w:ascii="Times New Roman" w:cs="Times New Roman" w:eastAsia="Times New Roman" w:hAnsi="Times New Roman"/>
          <w:b/>
          <w:bCs/>
          <w:color w:val="262626"/>
          <w:sz w:val="24"/>
          <w:szCs w:val="24"/>
        </w:rPr>
        <w:t xml:space="preserve">Sử dụng phần mềm bán hàng POS thông thường (KiotViet, Sapo): </w:t>
      </w:r>
      <w:r>
        <w:rPr>
          <w:rFonts w:ascii="Times New Roman" w:cs="Times New Roman" w:eastAsia="Times New Roman" w:hAnsi="Times New Roman"/>
          <w:color w:val="262626"/>
          <w:sz w:val="24"/>
          <w:szCs w:val="24"/>
        </w:rPr>
        <w:t xml:space="preserve">Các phần mềm POS thương mại chỉ tập trung vào nghiệp vụ bán lẻ lẻ sản phẩm có sẵn, hoàn toàn không hỗ trợ quy trình sửa chữa đa bước (Tiếp nhận -&gt; Chẩn đoán -&gt; Báo giá -&gt; Duyệt giá -&gt; Thay thế linh kiện -&gt; Kiểm tra chất lượng -&gt; Bàn giao).</w:t>
      </w:r>
    </w:p>
    <w:p>
      <w:pPr>
        <w:pStyle w:val="ListParagraph"/>
        <w:numPr>
          <w:ilvl w:val="0"/>
          <w:numId w:val="1"/>
        </w:numPr>
        <w:spacing w:after="80" w:before="40" w:line="260"/>
      </w:pPr>
      <w:r>
        <w:rPr>
          <w:rFonts w:ascii="Times New Roman" w:cs="Times New Roman" w:eastAsia="Times New Roman" w:hAnsi="Times New Roman"/>
          <w:b/>
          <w:bCs/>
          <w:color w:val="262626"/>
          <w:sz w:val="24"/>
          <w:szCs w:val="24"/>
        </w:rPr>
        <w:t xml:space="preserve">Tra cứu tiến độ qua cuộc gọi trực tiếp: </w:t>
      </w:r>
      <w:r>
        <w:rPr>
          <w:rFonts w:ascii="Times New Roman" w:cs="Times New Roman" w:eastAsia="Times New Roman" w:hAnsi="Times New Roman"/>
          <w:color w:val="262626"/>
          <w:sz w:val="24"/>
          <w:szCs w:val="24"/>
        </w:rPr>
        <w:t xml:space="preserve">Tốn kém nhân lực tư vấn, gia tăng áp lực cho bộ phận CSKH và làm chậm trễ tiến độ làm việc của kỹ thuật viên.</w:t>
      </w:r>
    </w:p>
    <w:p>
      <w:pPr>
        <w:pStyle w:val="Heading3"/>
        <w:spacing w:after="100" w:before="200"/>
      </w:pPr>
      <w:r>
        <w:rPr>
          <w:rFonts w:ascii="Times New Roman" w:cs="Times New Roman" w:eastAsia="Times New Roman" w:hAnsi="Times New Roman"/>
          <w:b/>
          <w:bCs/>
          <w:color w:val="262626"/>
          <w:sz w:val="24"/>
          <w:szCs w:val="24"/>
        </w:rPr>
        <w:t xml:space="preserve">1.1.2. Tình hình ứng dụng ngoài nước</w:t>
      </w:r>
    </w:p>
    <w:p>
      <w:pPr>
        <w:spacing w:after="120" w:before="60" w:line="280"/>
      </w:pPr>
      <w:r>
        <w:rPr>
          <w:rFonts w:ascii="Times New Roman" w:cs="Times New Roman" w:eastAsia="Times New Roman" w:hAnsi="Times New Roman"/>
          <w:color w:val="262626"/>
          <w:sz w:val="24"/>
          <w:szCs w:val="24"/>
        </w:rPr>
        <w:t xml:space="preserve">Tại các quốc gia phát triển như Mỹ, Châu Âu, Nhật Bản và Singapore, ngành công nghiệp sửa chữa thiết bị (Right to Repair Industry) đã áp dụng triệt để các nền tảng SaaS (Software as a Service) chuyên biệt dành riêng cho việc quản lý cửa hàng sửa chữa (Computer &amp; Phone Repair Shop Software). Các hệ thống này cho phép:</w:t>
      </w:r>
    </w:p>
    <w:p>
      <w:pPr>
        <w:pStyle w:val="ListParagraph"/>
        <w:numPr>
          <w:ilvl w:val="0"/>
          <w:numId w:val="1"/>
        </w:numPr>
        <w:spacing w:after="80" w:before="40" w:line="260"/>
      </w:pPr>
      <w:r>
        <w:rPr>
          <w:rFonts w:ascii="Times New Roman" w:cs="Times New Roman" w:eastAsia="Times New Roman" w:hAnsi="Times New Roman"/>
          <w:b/>
          <w:bCs/>
          <w:color w:val="262626"/>
          <w:sz w:val="24"/>
          <w:szCs w:val="24"/>
        </w:rPr>
        <w:t xml:space="preserve">Tự động hóa hoàn toàn quy trình giao tiếp khách hàng: </w:t>
      </w:r>
      <w:r>
        <w:rPr>
          <w:rFonts w:ascii="Times New Roman" w:cs="Times New Roman" w:eastAsia="Times New Roman" w:hAnsi="Times New Roman"/>
          <w:color w:val="262626"/>
          <w:sz w:val="24"/>
          <w:szCs w:val="24"/>
        </w:rPr>
        <w:t xml:space="preserve">Gửi tin nhắn SMS và Email cập nhật từng bước trạng thái của thiết bị.</w:t>
      </w:r>
    </w:p>
    <w:p>
      <w:pPr>
        <w:pStyle w:val="ListParagraph"/>
        <w:numPr>
          <w:ilvl w:val="0"/>
          <w:numId w:val="1"/>
        </w:numPr>
        <w:spacing w:after="80" w:before="40" w:line="260"/>
      </w:pPr>
      <w:r>
        <w:rPr>
          <w:rFonts w:ascii="Times New Roman" w:cs="Times New Roman" w:eastAsia="Times New Roman" w:hAnsi="Times New Roman"/>
          <w:b/>
          <w:bCs/>
          <w:color w:val="262626"/>
          <w:sz w:val="24"/>
          <w:szCs w:val="24"/>
        </w:rPr>
        <w:t xml:space="preserve">Quản lý kho linh kiện theo số Serial/IMEI từng đơn vị (Unit-level Serial Tracking): </w:t>
      </w:r>
      <w:r>
        <w:rPr>
          <w:rFonts w:ascii="Times New Roman" w:cs="Times New Roman" w:eastAsia="Times New Roman" w:hAnsi="Times New Roman"/>
          <w:color w:val="262626"/>
          <w:sz w:val="24"/>
          <w:szCs w:val="24"/>
        </w:rPr>
        <w:t xml:space="preserve">Đảm bảo truy xuất nguồn gốc chính xác của linh kiện từ nhà cung cấp đến thiết bị của khách hàng.</w:t>
      </w:r>
    </w:p>
    <w:p>
      <w:pPr>
        <w:pStyle w:val="ListParagraph"/>
        <w:numPr>
          <w:ilvl w:val="0"/>
          <w:numId w:val="1"/>
        </w:numPr>
        <w:spacing w:after="80" w:before="40" w:line="260"/>
      </w:pPr>
      <w:r>
        <w:rPr>
          <w:rFonts w:ascii="Times New Roman" w:cs="Times New Roman" w:eastAsia="Times New Roman" w:hAnsi="Times New Roman"/>
          <w:b/>
          <w:bCs/>
          <w:color w:val="262626"/>
          <w:sz w:val="24"/>
          <w:szCs w:val="24"/>
        </w:rPr>
        <w:t xml:space="preserve">Tích hợp chữ ký điện tử (E-signature) và duyệt báo giá trực tuyến: </w:t>
      </w:r>
      <w:r>
        <w:rPr>
          <w:rFonts w:ascii="Times New Roman" w:cs="Times New Roman" w:eastAsia="Times New Roman" w:hAnsi="Times New Roman"/>
          <w:color w:val="262626"/>
          <w:sz w:val="24"/>
          <w:szCs w:val="24"/>
        </w:rPr>
        <w:t xml:space="preserve">Khách hàng xác thực điều khoản sửa chữa và đồng ý chi phí ngay trên smartphone.</w:t>
      </w:r>
    </w:p>
    <w:p>
      <w:pPr>
        <w:pStyle w:val="Heading2"/>
        <w:spacing w:after="140" w:before="280"/>
      </w:pPr>
      <w:r>
        <w:rPr>
          <w:rFonts w:ascii="Times New Roman" w:cs="Times New Roman" w:eastAsia="Times New Roman" w:hAnsi="Times New Roman"/>
          <w:b/>
          <w:bCs/>
          <w:color w:val="2F5597"/>
          <w:sz w:val="26"/>
          <w:szCs w:val="26"/>
        </w:rPr>
        <w:t xml:space="preserve">1.2. Khảo sát các hệ thống / phần mềm liên quan</w:t>
      </w:r>
    </w:p>
    <w:p>
      <w:pPr>
        <w:pStyle w:val="Heading3"/>
        <w:spacing w:after="100" w:before="200"/>
      </w:pPr>
      <w:r>
        <w:rPr>
          <w:rFonts w:ascii="Times New Roman" w:cs="Times New Roman" w:eastAsia="Times New Roman" w:hAnsi="Times New Roman"/>
          <w:b/>
          <w:bCs/>
          <w:color w:val="262626"/>
          <w:sz w:val="24"/>
          <w:szCs w:val="24"/>
        </w:rPr>
        <w:t xml:space="preserve">1.2.1. Khảo sát các hệ thống thương mại quốc tế</w:t>
      </w:r>
    </w:p>
    <w:p>
      <w:pPr>
        <w:spacing w:after="120" w:before="60" w:line="280"/>
      </w:pPr>
      <w:r>
        <w:rPr>
          <w:rFonts w:ascii="Times New Roman" w:cs="Times New Roman" w:eastAsia="Times New Roman" w:hAnsi="Times New Roman"/>
          <w:color w:val="262626"/>
          <w:sz w:val="24"/>
          <w:szCs w:val="24"/>
        </w:rPr>
        <w:t xml:space="preserve">Qua quá trình nghiên cứu, nhóm phát triển đã tiến hành phân tích chuyên sâu 3 giải pháp quản lý trung tâm sửa chữa hàng đầu thế giới bao gồm: </w:t>
      </w:r>
      <w:r>
        <w:rPr>
          <w:rFonts w:ascii="Times New Roman" w:cs="Times New Roman" w:eastAsia="Times New Roman" w:hAnsi="Times New Roman"/>
          <w:b/>
          <w:bCs/>
          <w:color w:val="262626"/>
          <w:sz w:val="24"/>
          <w:szCs w:val="24"/>
        </w:rPr>
        <w:t xml:space="preserve">RepairShopr</w:t>
      </w:r>
      <w:r>
        <w:rPr>
          <w:rFonts w:ascii="Times New Roman" w:cs="Times New Roman" w:eastAsia="Times New Roman" w:hAnsi="Times New Roman"/>
          <w:color w:val="262626"/>
          <w:sz w:val="24"/>
          <w:szCs w:val="24"/>
        </w:rPr>
        <w:t xml:space="preserve">, </w:t>
      </w:r>
      <w:r>
        <w:rPr>
          <w:rFonts w:ascii="Times New Roman" w:cs="Times New Roman" w:eastAsia="Times New Roman" w:hAnsi="Times New Roman"/>
          <w:b/>
          <w:bCs/>
          <w:color w:val="262626"/>
          <w:sz w:val="24"/>
          <w:szCs w:val="24"/>
        </w:rPr>
        <w:t xml:space="preserve">RepairDesk</w:t>
      </w:r>
      <w:r>
        <w:rPr>
          <w:rFonts w:ascii="Times New Roman" w:cs="Times New Roman" w:eastAsia="Times New Roman" w:hAnsi="Times New Roman"/>
          <w:color w:val="262626"/>
          <w:sz w:val="24"/>
          <w:szCs w:val="24"/>
        </w:rPr>
        <w:t xml:space="preserve"> và </w:t>
      </w:r>
      <w:r>
        <w:rPr>
          <w:rFonts w:ascii="Times New Roman" w:cs="Times New Roman" w:eastAsia="Times New Roman" w:hAnsi="Times New Roman"/>
          <w:b/>
          <w:bCs/>
          <w:color w:val="262626"/>
          <w:sz w:val="24"/>
          <w:szCs w:val="24"/>
        </w:rPr>
        <w:t xml:space="preserve">ServiceM8</w:t>
      </w:r>
      <w:r>
        <w:rPr>
          <w:rFonts w:ascii="Times New Roman" w:cs="Times New Roman" w:eastAsia="Times New Roman" w:hAnsi="Times New Roman"/>
          <w:color w:val="262626"/>
          <w:sz w:val="24"/>
          <w:szCs w:val="24"/>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rHeight w:val="360" w:hRule="atLeast"/>
        </w:trPr>
        <w:tc>
          <w:tcPr>
            <w:tcW w:type="pct" w:w="25%"/>
            <w:tcBorders>
              <w:top w:val="single" w:color="1F4E78" w:sz="6"/>
              <w:left w:val="single" w:color="D9D9D9" w:sz="4"/>
              <w:bottom w:val="single" w:color="1F4E78" w:sz="12"/>
              <w:right w:val="single" w:color="D9D9D9" w:sz="4"/>
            </w:tcBorders>
            <w:shd w:fill="1F4E78" w:val="clear"/>
            <w:tcMar>
              <w:top w:type="dxa" w:w="100"/>
              <w:left w:type="dxa" w:w="120"/>
              <w:bottom w:type="dxa" w:w="100"/>
              <w:right w:type="dxa" w:w="120"/>
            </w:tcMar>
            <w:vAlign w:val="center"/>
          </w:tcPr>
          <w:p>
            <w:pPr>
              <w:spacing w:after="80" w:before="80"/>
              <w:jc w:val="center"/>
            </w:pPr>
            <w:r>
              <w:rPr>
                <w:rFonts w:ascii="Times New Roman" w:cs="Times New Roman" w:eastAsia="Times New Roman" w:hAnsi="Times New Roman"/>
                <w:b/>
                <w:bCs/>
                <w:color w:val="FFFFFF"/>
                <w:sz w:val="22"/>
                <w:szCs w:val="22"/>
              </w:rPr>
              <w:t xml:space="preserve">Tiêu chí so sánh</w:t>
            </w:r>
          </w:p>
        </w:tc>
        <w:tc>
          <w:tcPr>
            <w:tcW w:type="pct" w:w="25%"/>
            <w:tcBorders>
              <w:top w:val="single" w:color="1F4E78" w:sz="6"/>
              <w:left w:val="single" w:color="D9D9D9" w:sz="4"/>
              <w:bottom w:val="single" w:color="1F4E78" w:sz="12"/>
              <w:right w:val="single" w:color="D9D9D9" w:sz="4"/>
            </w:tcBorders>
            <w:shd w:fill="1F4E78" w:val="clear"/>
            <w:tcMar>
              <w:top w:type="dxa" w:w="100"/>
              <w:left w:type="dxa" w:w="120"/>
              <w:bottom w:type="dxa" w:w="100"/>
              <w:right w:type="dxa" w:w="120"/>
            </w:tcMar>
            <w:vAlign w:val="center"/>
          </w:tcPr>
          <w:p>
            <w:pPr>
              <w:spacing w:after="80" w:before="80"/>
              <w:jc w:val="center"/>
            </w:pPr>
            <w:r>
              <w:rPr>
                <w:rFonts w:ascii="Times New Roman" w:cs="Times New Roman" w:eastAsia="Times New Roman" w:hAnsi="Times New Roman"/>
                <w:b/>
                <w:bCs/>
                <w:color w:val="FFFFFF"/>
                <w:sz w:val="22"/>
                <w:szCs w:val="22"/>
              </w:rPr>
              <w:t xml:space="preserve">RepairShopr</w:t>
            </w:r>
          </w:p>
        </w:tc>
        <w:tc>
          <w:tcPr>
            <w:tcW w:type="pct" w:w="25%"/>
            <w:tcBorders>
              <w:top w:val="single" w:color="1F4E78" w:sz="6"/>
              <w:left w:val="single" w:color="D9D9D9" w:sz="4"/>
              <w:bottom w:val="single" w:color="1F4E78" w:sz="12"/>
              <w:right w:val="single" w:color="D9D9D9" w:sz="4"/>
            </w:tcBorders>
            <w:shd w:fill="1F4E78" w:val="clear"/>
            <w:tcMar>
              <w:top w:type="dxa" w:w="100"/>
              <w:left w:type="dxa" w:w="120"/>
              <w:bottom w:type="dxa" w:w="100"/>
              <w:right w:type="dxa" w:w="120"/>
            </w:tcMar>
            <w:vAlign w:val="center"/>
          </w:tcPr>
          <w:p>
            <w:pPr>
              <w:spacing w:after="80" w:before="80"/>
              <w:jc w:val="center"/>
            </w:pPr>
            <w:r>
              <w:rPr>
                <w:rFonts w:ascii="Times New Roman" w:cs="Times New Roman" w:eastAsia="Times New Roman" w:hAnsi="Times New Roman"/>
                <w:b/>
                <w:bCs/>
                <w:color w:val="FFFFFF"/>
                <w:sz w:val="22"/>
                <w:szCs w:val="22"/>
              </w:rPr>
              <w:t xml:space="preserve">RepairDesk</w:t>
            </w:r>
          </w:p>
        </w:tc>
        <w:tc>
          <w:tcPr>
            <w:tcW w:type="pct" w:w="25%"/>
            <w:tcBorders>
              <w:top w:val="single" w:color="1F4E78" w:sz="6"/>
              <w:left w:val="single" w:color="D9D9D9" w:sz="4"/>
              <w:bottom w:val="single" w:color="1F4E78" w:sz="12"/>
              <w:right w:val="single" w:color="D9D9D9" w:sz="4"/>
            </w:tcBorders>
            <w:shd w:fill="1F4E78" w:val="clear"/>
            <w:tcMar>
              <w:top w:type="dxa" w:w="100"/>
              <w:left w:type="dxa" w:w="120"/>
              <w:bottom w:type="dxa" w:w="100"/>
              <w:right w:type="dxa" w:w="120"/>
            </w:tcMar>
            <w:vAlign w:val="center"/>
          </w:tcPr>
          <w:p>
            <w:pPr>
              <w:spacing w:after="80" w:before="80"/>
              <w:jc w:val="center"/>
            </w:pPr>
            <w:r>
              <w:rPr>
                <w:rFonts w:ascii="Times New Roman" w:cs="Times New Roman" w:eastAsia="Times New Roman" w:hAnsi="Times New Roman"/>
                <w:b/>
                <w:bCs/>
                <w:color w:val="FFFFFF"/>
                <w:sz w:val="22"/>
                <w:szCs w:val="22"/>
              </w:rPr>
              <w:t xml:space="preserve">KiotViet / Sapo (POS VN)</w:t>
            </w:r>
          </w:p>
        </w:tc>
      </w:tr>
      <w:tr>
        <w:trPr>
          <w:trHeight w:val="300" w:hRule="atLeast"/>
        </w:trPr>
        <w:tc>
          <w:tcPr>
            <w:tcW w:type="pct" w:w="25%"/>
            <w:tcBorders>
              <w:top w:val="single" w:color="D9D9D9" w:sz="4"/>
              <w:left w:val="single" w:color="D9D9D9" w:sz="4"/>
              <w:bottom w:val="single" w:color="D9D9D9" w:sz="4"/>
              <w:right w:val="single" w:color="D9D9D9" w:sz="4"/>
            </w:tcBorders>
            <w:shd w:fill="FFFFFF" w:val="clear"/>
            <w:tcMar>
              <w:top w:type="dxa" w:w="80"/>
              <w:left w:type="dxa" w:w="100"/>
              <w:bottom w:type="dxa" w:w="80"/>
              <w:right w:type="dxa" w:w="100"/>
            </w:tcMar>
            <w:vAlign w:val="center"/>
          </w:tcPr>
          <w:p>
            <w:pPr>
              <w:spacing w:after="60" w:before="60"/>
              <w:jc w:val="center"/>
            </w:pPr>
            <w:r>
              <w:rPr>
                <w:rFonts w:ascii="Times New Roman" w:cs="Times New Roman" w:eastAsia="Times New Roman" w:hAnsi="Times New Roman"/>
                <w:color w:val="262626"/>
                <w:sz w:val="22"/>
                <w:szCs w:val="22"/>
              </w:rPr>
              <w:t xml:space="preserve">Mô hình quản lý đơn</w:t>
            </w:r>
          </w:p>
        </w:tc>
        <w:tc>
          <w:tcPr>
            <w:tcW w:type="pct" w:w="25%"/>
            <w:tcBorders>
              <w:top w:val="single" w:color="D9D9D9" w:sz="4"/>
              <w:left w:val="single" w:color="D9D9D9" w:sz="4"/>
              <w:bottom w:val="single" w:color="D9D9D9" w:sz="4"/>
              <w:right w:val="single" w:color="D9D9D9" w:sz="4"/>
            </w:tcBorders>
            <w:shd w:fill="FFFFFF" w:val="clear"/>
            <w:tcMar>
              <w:top w:type="dxa" w:w="80"/>
              <w:left w:type="dxa" w:w="100"/>
              <w:bottom w:type="dxa" w:w="80"/>
              <w:right w:type="dxa" w:w="100"/>
            </w:tcMar>
            <w:vAlign w:val="center"/>
          </w:tcPr>
          <w:p>
            <w:pPr>
              <w:spacing w:after="60" w:before="60"/>
              <w:jc w:val="left"/>
            </w:pPr>
            <w:r>
              <w:rPr>
                <w:rFonts w:ascii="Times New Roman" w:cs="Times New Roman" w:eastAsia="Times New Roman" w:hAnsi="Times New Roman"/>
                <w:color w:val="262626"/>
                <w:sz w:val="22"/>
                <w:szCs w:val="22"/>
              </w:rPr>
              <w:t xml:space="preserve">Đơn sửa chữa (Ticket)</w:t>
            </w:r>
          </w:p>
        </w:tc>
        <w:tc>
          <w:tcPr>
            <w:tcW w:type="pct" w:w="25%"/>
            <w:tcBorders>
              <w:top w:val="single" w:color="D9D9D9" w:sz="4"/>
              <w:left w:val="single" w:color="D9D9D9" w:sz="4"/>
              <w:bottom w:val="single" w:color="D9D9D9" w:sz="4"/>
              <w:right w:val="single" w:color="D9D9D9" w:sz="4"/>
            </w:tcBorders>
            <w:shd w:fill="FFFFFF" w:val="clear"/>
            <w:tcMar>
              <w:top w:type="dxa" w:w="80"/>
              <w:left w:type="dxa" w:w="100"/>
              <w:bottom w:type="dxa" w:w="80"/>
              <w:right w:type="dxa" w:w="100"/>
            </w:tcMar>
            <w:vAlign w:val="center"/>
          </w:tcPr>
          <w:p>
            <w:pPr>
              <w:spacing w:after="60" w:before="60"/>
              <w:jc w:val="left"/>
            </w:pPr>
            <w:r>
              <w:rPr>
                <w:rFonts w:ascii="Times New Roman" w:cs="Times New Roman" w:eastAsia="Times New Roman" w:hAnsi="Times New Roman"/>
                <w:color w:val="262626"/>
                <w:sz w:val="22"/>
                <w:szCs w:val="22"/>
              </w:rPr>
              <w:t xml:space="preserve">Đơn sửa chữa (Repair Order)</w:t>
            </w:r>
          </w:p>
        </w:tc>
        <w:tc>
          <w:tcPr>
            <w:tcW w:type="pct" w:w="25%"/>
            <w:tcBorders>
              <w:top w:val="single" w:color="D9D9D9" w:sz="4"/>
              <w:left w:val="single" w:color="D9D9D9" w:sz="4"/>
              <w:bottom w:val="single" w:color="D9D9D9" w:sz="4"/>
              <w:right w:val="single" w:color="D9D9D9" w:sz="4"/>
            </w:tcBorders>
            <w:shd w:fill="FFFFFF" w:val="clear"/>
            <w:tcMar>
              <w:top w:type="dxa" w:w="80"/>
              <w:left w:type="dxa" w:w="100"/>
              <w:bottom w:type="dxa" w:w="80"/>
              <w:right w:type="dxa" w:w="100"/>
            </w:tcMar>
            <w:vAlign w:val="center"/>
          </w:tcPr>
          <w:p>
            <w:pPr>
              <w:spacing w:after="60" w:before="60"/>
              <w:jc w:val="left"/>
            </w:pPr>
            <w:r>
              <w:rPr>
                <w:rFonts w:ascii="Times New Roman" w:cs="Times New Roman" w:eastAsia="Times New Roman" w:hAnsi="Times New Roman"/>
                <w:color w:val="262626"/>
                <w:sz w:val="22"/>
                <w:szCs w:val="22"/>
              </w:rPr>
              <w:t xml:space="preserve">Đơn hàng bán lẻ (Sales Order)</w:t>
            </w:r>
          </w:p>
        </w:tc>
      </w:tr>
      <w:tr>
        <w:trPr>
          <w:trHeight w:val="300" w:hRule="atLeast"/>
        </w:trPr>
        <w:tc>
          <w:tcPr>
            <w:tcW w:type="pct" w:w="25%"/>
            <w:tcBorders>
              <w:top w:val="single" w:color="D9D9D9" w:sz="4"/>
              <w:left w:val="single" w:color="D9D9D9" w:sz="4"/>
              <w:bottom w:val="single" w:color="D9D9D9" w:sz="4"/>
              <w:right w:val="single" w:color="D9D9D9" w:sz="4"/>
            </w:tcBorders>
            <w:shd w:fill="F9FBFD" w:val="clear"/>
            <w:tcMar>
              <w:top w:type="dxa" w:w="80"/>
              <w:left w:type="dxa" w:w="100"/>
              <w:bottom w:type="dxa" w:w="80"/>
              <w:right w:type="dxa" w:w="100"/>
            </w:tcMar>
            <w:vAlign w:val="center"/>
          </w:tcPr>
          <w:p>
            <w:pPr>
              <w:spacing w:after="60" w:before="60"/>
              <w:jc w:val="center"/>
            </w:pPr>
            <w:r>
              <w:rPr>
                <w:rFonts w:ascii="Times New Roman" w:cs="Times New Roman" w:eastAsia="Times New Roman" w:hAnsi="Times New Roman"/>
                <w:color w:val="262626"/>
                <w:sz w:val="22"/>
                <w:szCs w:val="22"/>
              </w:rPr>
              <w:t xml:space="preserve">Quản lý kho Serial/IMEI</w:t>
            </w:r>
          </w:p>
        </w:tc>
        <w:tc>
          <w:tcPr>
            <w:tcW w:type="pct" w:w="25%"/>
            <w:tcBorders>
              <w:top w:val="single" w:color="D9D9D9" w:sz="4"/>
              <w:left w:val="single" w:color="D9D9D9" w:sz="4"/>
              <w:bottom w:val="single" w:color="D9D9D9" w:sz="4"/>
              <w:right w:val="single" w:color="D9D9D9" w:sz="4"/>
            </w:tcBorders>
            <w:shd w:fill="F9FBFD" w:val="clear"/>
            <w:tcMar>
              <w:top w:type="dxa" w:w="80"/>
              <w:left w:type="dxa" w:w="100"/>
              <w:bottom w:type="dxa" w:w="80"/>
              <w:right w:type="dxa" w:w="100"/>
            </w:tcMar>
            <w:vAlign w:val="center"/>
          </w:tcPr>
          <w:p>
            <w:pPr>
              <w:spacing w:after="60" w:before="60"/>
              <w:jc w:val="left"/>
            </w:pPr>
            <w:r>
              <w:rPr>
                <w:rFonts w:ascii="Times New Roman" w:cs="Times New Roman" w:eastAsia="Times New Roman" w:hAnsi="Times New Roman"/>
                <w:color w:val="262626"/>
                <w:sz w:val="22"/>
                <w:szCs w:val="22"/>
              </w:rPr>
              <w:t xml:space="preserve">Hỗ trợ chi tiết theo từng mã</w:t>
            </w:r>
          </w:p>
        </w:tc>
        <w:tc>
          <w:tcPr>
            <w:tcW w:type="pct" w:w="25%"/>
            <w:tcBorders>
              <w:top w:val="single" w:color="D9D9D9" w:sz="4"/>
              <w:left w:val="single" w:color="D9D9D9" w:sz="4"/>
              <w:bottom w:val="single" w:color="D9D9D9" w:sz="4"/>
              <w:right w:val="single" w:color="D9D9D9" w:sz="4"/>
            </w:tcBorders>
            <w:shd w:fill="F9FBFD" w:val="clear"/>
            <w:tcMar>
              <w:top w:type="dxa" w:w="80"/>
              <w:left w:type="dxa" w:w="100"/>
              <w:bottom w:type="dxa" w:w="80"/>
              <w:right w:type="dxa" w:w="100"/>
            </w:tcMar>
            <w:vAlign w:val="center"/>
          </w:tcPr>
          <w:p>
            <w:pPr>
              <w:spacing w:after="60" w:before="60"/>
              <w:jc w:val="left"/>
            </w:pPr>
            <w:r>
              <w:rPr>
                <w:rFonts w:ascii="Times New Roman" w:cs="Times New Roman" w:eastAsia="Times New Roman" w:hAnsi="Times New Roman"/>
                <w:color w:val="262626"/>
                <w:sz w:val="22"/>
                <w:szCs w:val="22"/>
              </w:rPr>
              <w:t xml:space="preserve">Hỗ trợ nâng cao theo SKU/IMEI</w:t>
            </w:r>
          </w:p>
        </w:tc>
        <w:tc>
          <w:tcPr>
            <w:tcW w:type="pct" w:w="25%"/>
            <w:tcBorders>
              <w:top w:val="single" w:color="D9D9D9" w:sz="4"/>
              <w:left w:val="single" w:color="D9D9D9" w:sz="4"/>
              <w:bottom w:val="single" w:color="D9D9D9" w:sz="4"/>
              <w:right w:val="single" w:color="D9D9D9" w:sz="4"/>
            </w:tcBorders>
            <w:shd w:fill="F9FBFD" w:val="clear"/>
            <w:tcMar>
              <w:top w:type="dxa" w:w="80"/>
              <w:left w:type="dxa" w:w="100"/>
              <w:bottom w:type="dxa" w:w="80"/>
              <w:right w:type="dxa" w:w="100"/>
            </w:tcMar>
            <w:vAlign w:val="center"/>
          </w:tcPr>
          <w:p>
            <w:pPr>
              <w:spacing w:after="60" w:before="60"/>
              <w:jc w:val="left"/>
            </w:pPr>
            <w:r>
              <w:rPr>
                <w:rFonts w:ascii="Times New Roman" w:cs="Times New Roman" w:eastAsia="Times New Roman" w:hAnsi="Times New Roman"/>
                <w:color w:val="262626"/>
                <w:sz w:val="22"/>
                <w:szCs w:val="22"/>
              </w:rPr>
              <w:t xml:space="preserve">Chỉ quản lý số lượng tồn chung</w:t>
            </w:r>
          </w:p>
        </w:tc>
      </w:tr>
      <w:tr>
        <w:trPr>
          <w:trHeight w:val="300" w:hRule="atLeast"/>
        </w:trPr>
        <w:tc>
          <w:tcPr>
            <w:tcW w:type="pct" w:w="25%"/>
            <w:tcBorders>
              <w:top w:val="single" w:color="D9D9D9" w:sz="4"/>
              <w:left w:val="single" w:color="D9D9D9" w:sz="4"/>
              <w:bottom w:val="single" w:color="D9D9D9" w:sz="4"/>
              <w:right w:val="single" w:color="D9D9D9" w:sz="4"/>
            </w:tcBorders>
            <w:shd w:fill="FFFFFF" w:val="clear"/>
            <w:tcMar>
              <w:top w:type="dxa" w:w="80"/>
              <w:left w:type="dxa" w:w="100"/>
              <w:bottom w:type="dxa" w:w="80"/>
              <w:right w:type="dxa" w:w="100"/>
            </w:tcMar>
            <w:vAlign w:val="center"/>
          </w:tcPr>
          <w:p>
            <w:pPr>
              <w:spacing w:after="60" w:before="60"/>
              <w:jc w:val="center"/>
            </w:pPr>
            <w:r>
              <w:rPr>
                <w:rFonts w:ascii="Times New Roman" w:cs="Times New Roman" w:eastAsia="Times New Roman" w:hAnsi="Times New Roman"/>
                <w:color w:val="262626"/>
                <w:sz w:val="22"/>
                <w:szCs w:val="22"/>
              </w:rPr>
              <w:t xml:space="preserve">Cổng duyệt báo giá KH</w:t>
            </w:r>
          </w:p>
        </w:tc>
        <w:tc>
          <w:tcPr>
            <w:tcW w:type="pct" w:w="25%"/>
            <w:tcBorders>
              <w:top w:val="single" w:color="D9D9D9" w:sz="4"/>
              <w:left w:val="single" w:color="D9D9D9" w:sz="4"/>
              <w:bottom w:val="single" w:color="D9D9D9" w:sz="4"/>
              <w:right w:val="single" w:color="D9D9D9" w:sz="4"/>
            </w:tcBorders>
            <w:shd w:fill="FFFFFF" w:val="clear"/>
            <w:tcMar>
              <w:top w:type="dxa" w:w="80"/>
              <w:left w:type="dxa" w:w="100"/>
              <w:bottom w:type="dxa" w:w="80"/>
              <w:right w:type="dxa" w:w="100"/>
            </w:tcMar>
            <w:vAlign w:val="center"/>
          </w:tcPr>
          <w:p>
            <w:pPr>
              <w:spacing w:after="60" w:before="60"/>
              <w:jc w:val="left"/>
            </w:pPr>
            <w:r>
              <w:rPr>
                <w:rFonts w:ascii="Times New Roman" w:cs="Times New Roman" w:eastAsia="Times New Roman" w:hAnsi="Times New Roman"/>
                <w:color w:val="262626"/>
                <w:sz w:val="22"/>
                <w:szCs w:val="22"/>
              </w:rPr>
              <w:t xml:space="preserve">Có (Client Portal)</w:t>
            </w:r>
          </w:p>
        </w:tc>
        <w:tc>
          <w:tcPr>
            <w:tcW w:type="pct" w:w="25%"/>
            <w:tcBorders>
              <w:top w:val="single" w:color="D9D9D9" w:sz="4"/>
              <w:left w:val="single" w:color="D9D9D9" w:sz="4"/>
              <w:bottom w:val="single" w:color="D9D9D9" w:sz="4"/>
              <w:right w:val="single" w:color="D9D9D9" w:sz="4"/>
            </w:tcBorders>
            <w:shd w:fill="FFFFFF" w:val="clear"/>
            <w:tcMar>
              <w:top w:type="dxa" w:w="80"/>
              <w:left w:type="dxa" w:w="100"/>
              <w:bottom w:type="dxa" w:w="80"/>
              <w:right w:type="dxa" w:w="100"/>
            </w:tcMar>
            <w:vAlign w:val="center"/>
          </w:tcPr>
          <w:p>
            <w:pPr>
              <w:spacing w:after="60" w:before="60"/>
              <w:jc w:val="left"/>
            </w:pPr>
            <w:r>
              <w:rPr>
                <w:rFonts w:ascii="Times New Roman" w:cs="Times New Roman" w:eastAsia="Times New Roman" w:hAnsi="Times New Roman"/>
                <w:color w:val="262626"/>
                <w:sz w:val="22"/>
                <w:szCs w:val="22"/>
              </w:rPr>
              <w:t xml:space="preserve">Có (Customer Portal)</w:t>
            </w:r>
          </w:p>
        </w:tc>
        <w:tc>
          <w:tcPr>
            <w:tcW w:type="pct" w:w="25%"/>
            <w:tcBorders>
              <w:top w:val="single" w:color="D9D9D9" w:sz="4"/>
              <w:left w:val="single" w:color="D9D9D9" w:sz="4"/>
              <w:bottom w:val="single" w:color="D9D9D9" w:sz="4"/>
              <w:right w:val="single" w:color="D9D9D9" w:sz="4"/>
            </w:tcBorders>
            <w:shd w:fill="FFFFFF" w:val="clear"/>
            <w:tcMar>
              <w:top w:type="dxa" w:w="80"/>
              <w:left w:type="dxa" w:w="100"/>
              <w:bottom w:type="dxa" w:w="80"/>
              <w:right w:type="dxa" w:w="100"/>
            </w:tcMar>
            <w:vAlign w:val="center"/>
          </w:tcPr>
          <w:p>
            <w:pPr>
              <w:spacing w:after="60" w:before="60"/>
              <w:jc w:val="left"/>
            </w:pPr>
            <w:r>
              <w:rPr>
                <w:rFonts w:ascii="Times New Roman" w:cs="Times New Roman" w:eastAsia="Times New Roman" w:hAnsi="Times New Roman"/>
                <w:color w:val="262626"/>
                <w:sz w:val="22"/>
                <w:szCs w:val="22"/>
              </w:rPr>
              <w:t xml:space="preserve">Không có</w:t>
            </w:r>
          </w:p>
        </w:tc>
      </w:tr>
      <w:tr>
        <w:trPr>
          <w:trHeight w:val="300" w:hRule="atLeast"/>
        </w:trPr>
        <w:tc>
          <w:tcPr>
            <w:tcW w:type="pct" w:w="25%"/>
            <w:tcBorders>
              <w:top w:val="single" w:color="D9D9D9" w:sz="4"/>
              <w:left w:val="single" w:color="D9D9D9" w:sz="4"/>
              <w:bottom w:val="single" w:color="D9D9D9" w:sz="4"/>
              <w:right w:val="single" w:color="D9D9D9" w:sz="4"/>
            </w:tcBorders>
            <w:shd w:fill="F9FBFD" w:val="clear"/>
            <w:tcMar>
              <w:top w:type="dxa" w:w="80"/>
              <w:left w:type="dxa" w:w="100"/>
              <w:bottom w:type="dxa" w:w="80"/>
              <w:right w:type="dxa" w:w="100"/>
            </w:tcMar>
            <w:vAlign w:val="center"/>
          </w:tcPr>
          <w:p>
            <w:pPr>
              <w:spacing w:after="60" w:before="60"/>
              <w:jc w:val="center"/>
            </w:pPr>
            <w:r>
              <w:rPr>
                <w:rFonts w:ascii="Times New Roman" w:cs="Times New Roman" w:eastAsia="Times New Roman" w:hAnsi="Times New Roman"/>
                <w:color w:val="262626"/>
                <w:sz w:val="22"/>
                <w:szCs w:val="22"/>
              </w:rPr>
              <w:t xml:space="preserve">Theo dõi ngoại quan (Ảnh)</w:t>
            </w:r>
          </w:p>
        </w:tc>
        <w:tc>
          <w:tcPr>
            <w:tcW w:type="pct" w:w="25%"/>
            <w:tcBorders>
              <w:top w:val="single" w:color="D9D9D9" w:sz="4"/>
              <w:left w:val="single" w:color="D9D9D9" w:sz="4"/>
              <w:bottom w:val="single" w:color="D9D9D9" w:sz="4"/>
              <w:right w:val="single" w:color="D9D9D9" w:sz="4"/>
            </w:tcBorders>
            <w:shd w:fill="F9FBFD" w:val="clear"/>
            <w:tcMar>
              <w:top w:type="dxa" w:w="80"/>
              <w:left w:type="dxa" w:w="100"/>
              <w:bottom w:type="dxa" w:w="80"/>
              <w:right w:type="dxa" w:w="100"/>
            </w:tcMar>
            <w:vAlign w:val="center"/>
          </w:tcPr>
          <w:p>
            <w:pPr>
              <w:spacing w:after="60" w:before="60"/>
              <w:jc w:val="left"/>
            </w:pPr>
            <w:r>
              <w:rPr>
                <w:rFonts w:ascii="Times New Roman" w:cs="Times New Roman" w:eastAsia="Times New Roman" w:hAnsi="Times New Roman"/>
                <w:color w:val="262626"/>
                <w:sz w:val="22"/>
                <w:szCs w:val="22"/>
              </w:rPr>
              <w:t xml:space="preserve">Tải ảnh đính kèm đơn</w:t>
            </w:r>
          </w:p>
        </w:tc>
        <w:tc>
          <w:tcPr>
            <w:tcW w:type="pct" w:w="25%"/>
            <w:tcBorders>
              <w:top w:val="single" w:color="D9D9D9" w:sz="4"/>
              <w:left w:val="single" w:color="D9D9D9" w:sz="4"/>
              <w:bottom w:val="single" w:color="D9D9D9" w:sz="4"/>
              <w:right w:val="single" w:color="D9D9D9" w:sz="4"/>
            </w:tcBorders>
            <w:shd w:fill="F9FBFD" w:val="clear"/>
            <w:tcMar>
              <w:top w:type="dxa" w:w="80"/>
              <w:left w:type="dxa" w:w="100"/>
              <w:bottom w:type="dxa" w:w="80"/>
              <w:right w:type="dxa" w:w="100"/>
            </w:tcMar>
            <w:vAlign w:val="center"/>
          </w:tcPr>
          <w:p>
            <w:pPr>
              <w:spacing w:after="60" w:before="60"/>
              <w:jc w:val="left"/>
            </w:pPr>
            <w:r>
              <w:rPr>
                <w:rFonts w:ascii="Times New Roman" w:cs="Times New Roman" w:eastAsia="Times New Roman" w:hAnsi="Times New Roman"/>
                <w:color w:val="262626"/>
                <w:sz w:val="22"/>
                <w:szCs w:val="22"/>
              </w:rPr>
              <w:t xml:space="preserve">Tải ảnh + Ghi chú lỗi</w:t>
            </w:r>
          </w:p>
        </w:tc>
        <w:tc>
          <w:tcPr>
            <w:tcW w:type="pct" w:w="25%"/>
            <w:tcBorders>
              <w:top w:val="single" w:color="D9D9D9" w:sz="4"/>
              <w:left w:val="single" w:color="D9D9D9" w:sz="4"/>
              <w:bottom w:val="single" w:color="D9D9D9" w:sz="4"/>
              <w:right w:val="single" w:color="D9D9D9" w:sz="4"/>
            </w:tcBorders>
            <w:shd w:fill="F9FBFD" w:val="clear"/>
            <w:tcMar>
              <w:top w:type="dxa" w:w="80"/>
              <w:left w:type="dxa" w:w="100"/>
              <w:bottom w:type="dxa" w:w="80"/>
              <w:right w:type="dxa" w:w="100"/>
            </w:tcMar>
            <w:vAlign w:val="center"/>
          </w:tcPr>
          <w:p>
            <w:pPr>
              <w:spacing w:after="60" w:before="60"/>
              <w:jc w:val="left"/>
            </w:pPr>
            <w:r>
              <w:rPr>
                <w:rFonts w:ascii="Times New Roman" w:cs="Times New Roman" w:eastAsia="Times New Roman" w:hAnsi="Times New Roman"/>
                <w:color w:val="262626"/>
                <w:sz w:val="22"/>
                <w:szCs w:val="22"/>
              </w:rPr>
              <w:t xml:space="preserve">Không có</w:t>
            </w:r>
          </w:p>
        </w:tc>
      </w:tr>
      <w:tr>
        <w:trPr>
          <w:trHeight w:val="300" w:hRule="atLeast"/>
        </w:trPr>
        <w:tc>
          <w:tcPr>
            <w:tcW w:type="pct" w:w="25%"/>
            <w:tcBorders>
              <w:top w:val="single" w:color="D9D9D9" w:sz="4"/>
              <w:left w:val="single" w:color="D9D9D9" w:sz="4"/>
              <w:bottom w:val="single" w:color="D9D9D9" w:sz="4"/>
              <w:right w:val="single" w:color="D9D9D9" w:sz="4"/>
            </w:tcBorders>
            <w:shd w:fill="FFFFFF" w:val="clear"/>
            <w:tcMar>
              <w:top w:type="dxa" w:w="80"/>
              <w:left w:type="dxa" w:w="100"/>
              <w:bottom w:type="dxa" w:w="80"/>
              <w:right w:type="dxa" w:w="100"/>
            </w:tcMar>
            <w:vAlign w:val="center"/>
          </w:tcPr>
          <w:p>
            <w:pPr>
              <w:spacing w:after="60" w:before="60"/>
              <w:jc w:val="center"/>
            </w:pPr>
            <w:r>
              <w:rPr>
                <w:rFonts w:ascii="Times New Roman" w:cs="Times New Roman" w:eastAsia="Times New Roman" w:hAnsi="Times New Roman"/>
                <w:color w:val="262626"/>
                <w:sz w:val="22"/>
                <w:szCs w:val="22"/>
              </w:rPr>
              <w:t xml:space="preserve">Chi phí sử dụng</w:t>
            </w:r>
          </w:p>
        </w:tc>
        <w:tc>
          <w:tcPr>
            <w:tcW w:type="pct" w:w="25%"/>
            <w:tcBorders>
              <w:top w:val="single" w:color="D9D9D9" w:sz="4"/>
              <w:left w:val="single" w:color="D9D9D9" w:sz="4"/>
              <w:bottom w:val="single" w:color="D9D9D9" w:sz="4"/>
              <w:right w:val="single" w:color="D9D9D9" w:sz="4"/>
            </w:tcBorders>
            <w:shd w:fill="FFFFFF" w:val="clear"/>
            <w:tcMar>
              <w:top w:type="dxa" w:w="80"/>
              <w:left w:type="dxa" w:w="100"/>
              <w:bottom w:type="dxa" w:w="80"/>
              <w:right w:type="dxa" w:w="100"/>
            </w:tcMar>
            <w:vAlign w:val="center"/>
          </w:tcPr>
          <w:p>
            <w:pPr>
              <w:spacing w:after="60" w:before="60"/>
              <w:jc w:val="left"/>
            </w:pPr>
            <w:r>
              <w:rPr>
                <w:rFonts w:ascii="Times New Roman" w:cs="Times New Roman" w:eastAsia="Times New Roman" w:hAnsi="Times New Roman"/>
                <w:color w:val="262626"/>
                <w:sz w:val="22"/>
                <w:szCs w:val="22"/>
              </w:rPr>
              <w:t xml:space="preserve">Rất cao ($99 - $299/tháng)</w:t>
            </w:r>
          </w:p>
        </w:tc>
        <w:tc>
          <w:tcPr>
            <w:tcW w:type="pct" w:w="25%"/>
            <w:tcBorders>
              <w:top w:val="single" w:color="D9D9D9" w:sz="4"/>
              <w:left w:val="single" w:color="D9D9D9" w:sz="4"/>
              <w:bottom w:val="single" w:color="D9D9D9" w:sz="4"/>
              <w:right w:val="single" w:color="D9D9D9" w:sz="4"/>
            </w:tcBorders>
            <w:shd w:fill="FFFFFF" w:val="clear"/>
            <w:tcMar>
              <w:top w:type="dxa" w:w="80"/>
              <w:left w:type="dxa" w:w="100"/>
              <w:bottom w:type="dxa" w:w="80"/>
              <w:right w:type="dxa" w:w="100"/>
            </w:tcMar>
            <w:vAlign w:val="center"/>
          </w:tcPr>
          <w:p>
            <w:pPr>
              <w:spacing w:after="60" w:before="60"/>
              <w:jc w:val="left"/>
            </w:pPr>
            <w:r>
              <w:rPr>
                <w:rFonts w:ascii="Times New Roman" w:cs="Times New Roman" w:eastAsia="Times New Roman" w:hAnsi="Times New Roman"/>
                <w:color w:val="262626"/>
                <w:sz w:val="22"/>
                <w:szCs w:val="22"/>
              </w:rPr>
              <w:t xml:space="preserve">Rất cao ($75 - $190/tháng)</w:t>
            </w:r>
          </w:p>
        </w:tc>
        <w:tc>
          <w:tcPr>
            <w:tcW w:type="pct" w:w="25%"/>
            <w:tcBorders>
              <w:top w:val="single" w:color="D9D9D9" w:sz="4"/>
              <w:left w:val="single" w:color="D9D9D9" w:sz="4"/>
              <w:bottom w:val="single" w:color="D9D9D9" w:sz="4"/>
              <w:right w:val="single" w:color="D9D9D9" w:sz="4"/>
            </w:tcBorders>
            <w:shd w:fill="FFFFFF" w:val="clear"/>
            <w:tcMar>
              <w:top w:type="dxa" w:w="80"/>
              <w:left w:type="dxa" w:w="100"/>
              <w:bottom w:type="dxa" w:w="80"/>
              <w:right w:type="dxa" w:w="100"/>
            </w:tcMar>
            <w:vAlign w:val="center"/>
          </w:tcPr>
          <w:p>
            <w:pPr>
              <w:spacing w:after="60" w:before="60"/>
              <w:jc w:val="left"/>
            </w:pPr>
            <w:r>
              <w:rPr>
                <w:rFonts w:ascii="Times New Roman" w:cs="Times New Roman" w:eastAsia="Times New Roman" w:hAnsi="Times New Roman"/>
                <w:color w:val="262626"/>
                <w:sz w:val="22"/>
                <w:szCs w:val="22"/>
              </w:rPr>
              <w:t xml:space="preserve">Trung bình (200k-500k/tháng)</w:t>
            </w:r>
          </w:p>
        </w:tc>
      </w:tr>
      <w:tr>
        <w:trPr>
          <w:trHeight w:val="300" w:hRule="atLeast"/>
        </w:trPr>
        <w:tc>
          <w:tcPr>
            <w:tcW w:type="pct" w:w="25%"/>
            <w:tcBorders>
              <w:top w:val="single" w:color="D9D9D9" w:sz="4"/>
              <w:left w:val="single" w:color="D9D9D9" w:sz="4"/>
              <w:bottom w:val="single" w:color="D9D9D9" w:sz="4"/>
              <w:right w:val="single" w:color="D9D9D9" w:sz="4"/>
            </w:tcBorders>
            <w:shd w:fill="F9FBFD" w:val="clear"/>
            <w:tcMar>
              <w:top w:type="dxa" w:w="80"/>
              <w:left w:type="dxa" w:w="100"/>
              <w:bottom w:type="dxa" w:w="80"/>
              <w:right w:type="dxa" w:w="100"/>
            </w:tcMar>
            <w:vAlign w:val="center"/>
          </w:tcPr>
          <w:p>
            <w:pPr>
              <w:spacing w:after="60" w:before="60"/>
              <w:jc w:val="center"/>
            </w:pPr>
            <w:r>
              <w:rPr>
                <w:rFonts w:ascii="Times New Roman" w:cs="Times New Roman" w:eastAsia="Times New Roman" w:hAnsi="Times New Roman"/>
                <w:color w:val="262626"/>
                <w:sz w:val="22"/>
                <w:szCs w:val="22"/>
              </w:rPr>
              <w:t xml:space="preserve">Phù hợp nghiệp vụ VN</w:t>
            </w:r>
          </w:p>
        </w:tc>
        <w:tc>
          <w:tcPr>
            <w:tcW w:type="pct" w:w="25%"/>
            <w:tcBorders>
              <w:top w:val="single" w:color="D9D9D9" w:sz="4"/>
              <w:left w:val="single" w:color="D9D9D9" w:sz="4"/>
              <w:bottom w:val="single" w:color="D9D9D9" w:sz="4"/>
              <w:right w:val="single" w:color="D9D9D9" w:sz="4"/>
            </w:tcBorders>
            <w:shd w:fill="F9FBFD" w:val="clear"/>
            <w:tcMar>
              <w:top w:type="dxa" w:w="80"/>
              <w:left w:type="dxa" w:w="100"/>
              <w:bottom w:type="dxa" w:w="80"/>
              <w:right w:type="dxa" w:w="100"/>
            </w:tcMar>
            <w:vAlign w:val="center"/>
          </w:tcPr>
          <w:p>
            <w:pPr>
              <w:spacing w:after="60" w:before="60"/>
              <w:jc w:val="left"/>
            </w:pPr>
            <w:r>
              <w:rPr>
                <w:rFonts w:ascii="Times New Roman" w:cs="Times New Roman" w:eastAsia="Times New Roman" w:hAnsi="Times New Roman"/>
                <w:color w:val="262626"/>
                <w:sz w:val="22"/>
                <w:szCs w:val="22"/>
              </w:rPr>
              <w:t xml:space="preserve">Không (Chưa hỗ trợ Tiếng Việt)</w:t>
            </w:r>
          </w:p>
        </w:tc>
        <w:tc>
          <w:tcPr>
            <w:tcW w:type="pct" w:w="25%"/>
            <w:tcBorders>
              <w:top w:val="single" w:color="D9D9D9" w:sz="4"/>
              <w:left w:val="single" w:color="D9D9D9" w:sz="4"/>
              <w:bottom w:val="single" w:color="D9D9D9" w:sz="4"/>
              <w:right w:val="single" w:color="D9D9D9" w:sz="4"/>
            </w:tcBorders>
            <w:shd w:fill="F9FBFD" w:val="clear"/>
            <w:tcMar>
              <w:top w:type="dxa" w:w="80"/>
              <w:left w:type="dxa" w:w="100"/>
              <w:bottom w:type="dxa" w:w="80"/>
              <w:right w:type="dxa" w:w="100"/>
            </w:tcMar>
            <w:vAlign w:val="center"/>
          </w:tcPr>
          <w:p>
            <w:pPr>
              <w:spacing w:after="60" w:before="60"/>
              <w:jc w:val="left"/>
            </w:pPr>
            <w:r>
              <w:rPr>
                <w:rFonts w:ascii="Times New Roman" w:cs="Times New Roman" w:eastAsia="Times New Roman" w:hAnsi="Times New Roman"/>
                <w:color w:val="262626"/>
                <w:sz w:val="22"/>
                <w:szCs w:val="22"/>
              </w:rPr>
              <w:t xml:space="preserve">Không (Thiếu tích hợp SMS VN)</w:t>
            </w:r>
          </w:p>
        </w:tc>
        <w:tc>
          <w:tcPr>
            <w:tcW w:type="pct" w:w="25%"/>
            <w:tcBorders>
              <w:top w:val="single" w:color="D9D9D9" w:sz="4"/>
              <w:left w:val="single" w:color="D9D9D9" w:sz="4"/>
              <w:bottom w:val="single" w:color="D9D9D9" w:sz="4"/>
              <w:right w:val="single" w:color="D9D9D9" w:sz="4"/>
            </w:tcBorders>
            <w:shd w:fill="F9FBFD" w:val="clear"/>
            <w:tcMar>
              <w:top w:type="dxa" w:w="80"/>
              <w:left w:type="dxa" w:w="100"/>
              <w:bottom w:type="dxa" w:w="80"/>
              <w:right w:type="dxa" w:w="100"/>
            </w:tcMar>
            <w:vAlign w:val="center"/>
          </w:tcPr>
          <w:p>
            <w:pPr>
              <w:spacing w:after="60" w:before="60"/>
              <w:jc w:val="left"/>
            </w:pPr>
            <w:r>
              <w:rPr>
                <w:rFonts w:ascii="Times New Roman" w:cs="Times New Roman" w:eastAsia="Times New Roman" w:hAnsi="Times New Roman"/>
                <w:color w:val="262626"/>
                <w:sz w:val="22"/>
                <w:szCs w:val="22"/>
              </w:rPr>
              <w:t xml:space="preserve">Một phần (Chỉ phần thu chi)</w:t>
            </w:r>
          </w:p>
        </w:tc>
      </w:tr>
    </w:tbl>
    <w:p>
      <w:pPr>
        <w:pStyle w:val="Heading3"/>
        <w:spacing w:after="100" w:before="200"/>
      </w:pPr>
      <w:r>
        <w:rPr>
          <w:rFonts w:ascii="Times New Roman" w:cs="Times New Roman" w:eastAsia="Times New Roman" w:hAnsi="Times New Roman"/>
          <w:b/>
          <w:bCs/>
          <w:color w:val="262626"/>
          <w:sz w:val="24"/>
          <w:szCs w:val="24"/>
        </w:rPr>
        <w:t xml:space="preserve">1.2.2. Khảo sát các nền tảng quản trị nội bộ tổng hợp</w:t>
      </w:r>
    </w:p>
    <w:p>
      <w:pPr>
        <w:spacing w:after="120" w:before="60" w:line="280"/>
      </w:pPr>
      <w:r>
        <w:rPr>
          <w:rFonts w:ascii="Times New Roman" w:cs="Times New Roman" w:eastAsia="Times New Roman" w:hAnsi="Times New Roman"/>
          <w:color w:val="262626"/>
          <w:sz w:val="24"/>
          <w:szCs w:val="24"/>
        </w:rPr>
        <w:t xml:space="preserve">Bên cạnh các phần mềm chuyên biệt quốc tế, nhiều doanh nghiệp tại Việt Nam đã cố gắng tùy biến các hệ thống ERP mở như Odoo, ERPNext hoặc viết các phần mềm quản lý nội bộ riêng bằng Excel/Google Sheets. Tuy nhiên, việc tùy biến ERP đòi hỏi chi phí triển khai vô cùng đắt đỏ, trong khi Excel hoàn toàn thất bại khi số lượng đơn sửa chữa vượt quá 1,000 đơn/tháng do thiếu tính nhất quán dữ liệu và khả năng truy cập đồng thời.</w:t>
      </w:r>
    </w:p>
    <w:p>
      <w:pPr>
        <w:pStyle w:val="Heading2"/>
        <w:spacing w:after="140" w:before="280"/>
      </w:pPr>
      <w:r>
        <w:rPr>
          <w:rFonts w:ascii="Times New Roman" w:cs="Times New Roman" w:eastAsia="Times New Roman" w:hAnsi="Times New Roman"/>
          <w:b/>
          <w:bCs/>
          <w:color w:val="2F5597"/>
          <w:sz w:val="26"/>
          <w:szCs w:val="26"/>
        </w:rPr>
        <w:t xml:space="preserve">1.3. Phân tích ưu và nhược điểm của các hệ thống hiện có</w:t>
      </w:r>
    </w:p>
    <w:p>
      <w:pPr>
        <w:pStyle w:val="Heading3"/>
        <w:spacing w:after="100" w:before="200"/>
      </w:pPr>
      <w:r>
        <w:rPr>
          <w:rFonts w:ascii="Times New Roman" w:cs="Times New Roman" w:eastAsia="Times New Roman" w:hAnsi="Times New Roman"/>
          <w:b/>
          <w:bCs/>
          <w:color w:val="262626"/>
          <w:sz w:val="24"/>
          <w:szCs w:val="24"/>
        </w:rPr>
        <w:t xml:space="preserve">1.3.1. Ưu điểm</w:t>
      </w:r>
    </w:p>
    <w:p>
      <w:pPr>
        <w:pStyle w:val="ListParagraph"/>
        <w:numPr>
          <w:ilvl w:val="0"/>
          <w:numId w:val="1"/>
        </w:numPr>
        <w:spacing w:after="80" w:before="40" w:line="260"/>
      </w:pPr>
      <w:r>
        <w:rPr>
          <w:rFonts w:ascii="Times New Roman" w:cs="Times New Roman" w:eastAsia="Times New Roman" w:hAnsi="Times New Roman"/>
          <w:b/>
          <w:bCs/>
          <w:color w:val="262626"/>
          <w:sz w:val="24"/>
          <w:szCs w:val="24"/>
        </w:rPr>
        <w:t xml:space="preserve">Đối với hệ thống quốc tế (RepairShopr, RepairDesk): </w:t>
      </w:r>
      <w:r>
        <w:rPr>
          <w:rFonts w:ascii="Times New Roman" w:cs="Times New Roman" w:eastAsia="Times New Roman" w:hAnsi="Times New Roman"/>
          <w:color w:val="262626"/>
          <w:sz w:val="24"/>
          <w:szCs w:val="24"/>
        </w:rPr>
        <w:t xml:space="preserve">Quy trình nghiệp vụ rất chuẩn hóa, đầy đủ các tính năng nâng cao như tạo hóa đơn tự động, quản lý lịch hẹn kỹ thuật viên và tích hợp nhiều cổng thanh toán quốc tế.</w:t>
      </w:r>
    </w:p>
    <w:p>
      <w:pPr>
        <w:pStyle w:val="ListParagraph"/>
        <w:numPr>
          <w:ilvl w:val="0"/>
          <w:numId w:val="1"/>
        </w:numPr>
        <w:spacing w:after="80" w:before="40" w:line="260"/>
      </w:pPr>
      <w:r>
        <w:rPr>
          <w:rFonts w:ascii="Times New Roman" w:cs="Times New Roman" w:eastAsia="Times New Roman" w:hAnsi="Times New Roman"/>
          <w:b/>
          <w:bCs/>
          <w:color w:val="262626"/>
          <w:sz w:val="24"/>
          <w:szCs w:val="24"/>
        </w:rPr>
        <w:t xml:space="preserve">Đối với phần mềm POS nội địa (KiotViet, Sapo): </w:t>
      </w:r>
      <w:r>
        <w:rPr>
          <w:rFonts w:ascii="Times New Roman" w:cs="Times New Roman" w:eastAsia="Times New Roman" w:hAnsi="Times New Roman"/>
          <w:color w:val="262626"/>
          <w:sz w:val="24"/>
          <w:szCs w:val="24"/>
        </w:rPr>
        <w:t xml:space="preserve">Giao diện thân thiện tiếng Việt, chi phí hàng tháng rẻ, dễ sử dụng cho nhân viên thu ngân.</w:t>
      </w:r>
    </w:p>
    <w:p>
      <w:pPr>
        <w:pStyle w:val="Heading3"/>
        <w:spacing w:after="100" w:before="200"/>
      </w:pPr>
      <w:r>
        <w:rPr>
          <w:rFonts w:ascii="Times New Roman" w:cs="Times New Roman" w:eastAsia="Times New Roman" w:hAnsi="Times New Roman"/>
          <w:b/>
          <w:bCs/>
          <w:color w:val="262626"/>
          <w:sz w:val="24"/>
          <w:szCs w:val="24"/>
        </w:rPr>
        <w:t xml:space="preserve">1.3.2. Nhược điểm và khuyết điểm</w:t>
      </w:r>
    </w:p>
    <w:p>
      <w:pPr>
        <w:pStyle w:val="ListParagraph"/>
        <w:numPr>
          <w:ilvl w:val="0"/>
          <w:numId w:val="1"/>
        </w:numPr>
        <w:spacing w:after="80" w:before="40" w:line="260"/>
      </w:pPr>
      <w:r>
        <w:rPr>
          <w:rFonts w:ascii="Times New Roman" w:cs="Times New Roman" w:eastAsia="Times New Roman" w:hAnsi="Times New Roman"/>
          <w:b/>
          <w:bCs/>
          <w:color w:val="262626"/>
          <w:sz w:val="24"/>
          <w:szCs w:val="24"/>
        </w:rPr>
        <w:t xml:space="preserve">Rào cản ngôn ngữ và chi phí đắt đỏ: </w:t>
      </w:r>
      <w:r>
        <w:rPr>
          <w:rFonts w:ascii="Times New Roman" w:cs="Times New Roman" w:eastAsia="Times New Roman" w:hAnsi="Times New Roman"/>
          <w:color w:val="262626"/>
          <w:sz w:val="24"/>
          <w:szCs w:val="24"/>
        </w:rPr>
        <w:t xml:space="preserve">Các hệ thống chuyên nghiệp quốc tế có mức giá từ $1,000 đến $3,600/năm, vượt quá khả năng tài chính của đa số trung tâm sửa chữa vừa và nhỏ tại Việt Nam. Đồng thời không hỗ trợ ngôn ngữ tiếng Việt và quy trình hóa đơn VAT theo quy định pháp luật Việt Nam.</w:t>
      </w:r>
    </w:p>
    <w:p>
      <w:pPr>
        <w:pStyle w:val="ListParagraph"/>
        <w:numPr>
          <w:ilvl w:val="0"/>
          <w:numId w:val="1"/>
        </w:numPr>
        <w:spacing w:after="80" w:before="40" w:line="260"/>
      </w:pPr>
      <w:r>
        <w:rPr>
          <w:rFonts w:ascii="Times New Roman" w:cs="Times New Roman" w:eastAsia="Times New Roman" w:hAnsi="Times New Roman"/>
          <w:b/>
          <w:bCs/>
          <w:color w:val="262626"/>
          <w:sz w:val="24"/>
          <w:szCs w:val="24"/>
        </w:rPr>
        <w:t xml:space="preserve">Thiếu tính năng chuyên biệt sửa chữa ở phần mềm nội địa: </w:t>
      </w:r>
      <w:r>
        <w:rPr>
          <w:rFonts w:ascii="Times New Roman" w:cs="Times New Roman" w:eastAsia="Times New Roman" w:hAnsi="Times New Roman"/>
          <w:color w:val="262626"/>
          <w:sz w:val="24"/>
          <w:szCs w:val="24"/>
        </w:rPr>
        <w:t xml:space="preserve">Các phần mềm POS Việt Nam không thể lưu trữ lịch sử trạng thái đơn sửa chữa, không có chức năng chụp ảnh biên nhận ngoại quan trước khi tháo máy, và không cung cấp link tra cứu minh bạch cho khách hàng.</w:t>
      </w:r>
    </w:p>
    <w:p>
      <w:pPr>
        <w:pStyle w:val="ListParagraph"/>
        <w:numPr>
          <w:ilvl w:val="0"/>
          <w:numId w:val="1"/>
        </w:numPr>
        <w:spacing w:after="80" w:before="40" w:line="260"/>
      </w:pPr>
      <w:r>
        <w:rPr>
          <w:rFonts w:ascii="Times New Roman" w:cs="Times New Roman" w:eastAsia="Times New Roman" w:hAnsi="Times New Roman"/>
          <w:b/>
          <w:bCs/>
          <w:color w:val="262626"/>
          <w:sz w:val="24"/>
          <w:szCs w:val="24"/>
        </w:rPr>
        <w:t xml:space="preserve">Rủi ro bảo mật dữ liệu khách hàng: </w:t>
      </w:r>
      <w:r>
        <w:rPr>
          <w:rFonts w:ascii="Times New Roman" w:cs="Times New Roman" w:eastAsia="Times New Roman" w:hAnsi="Times New Roman"/>
          <w:color w:val="262626"/>
          <w:sz w:val="24"/>
          <w:szCs w:val="24"/>
        </w:rPr>
        <w:t xml:space="preserve">Nhiều cửa hàng nhỏ dùng các phần mềm bẻ khóa (crack) hoặc lưu dữ liệu trên bảng tính công khai, dẫn đến nguy cơ rò rỉ thông tin cá nhân của khách hàng.</w:t>
      </w:r>
    </w:p>
    <w:p>
      <w:pPr>
        <w:pStyle w:val="Heading2"/>
        <w:spacing w:after="140" w:before="280"/>
      </w:pPr>
      <w:r>
        <w:rPr>
          <w:rFonts w:ascii="Times New Roman" w:cs="Times New Roman" w:eastAsia="Times New Roman" w:hAnsi="Times New Roman"/>
          <w:b/>
          <w:bCs/>
          <w:color w:val="2F5597"/>
          <w:sz w:val="26"/>
          <w:szCs w:val="26"/>
        </w:rPr>
        <w:t xml:space="preserve">1.4. Đề xuất giải pháp Smart-TechRepair-Hub và kết luận</w:t>
      </w:r>
    </w:p>
    <w:p>
      <w:pPr>
        <w:spacing w:after="120" w:before="60" w:line="280"/>
      </w:pPr>
      <w:r>
        <w:rPr>
          <w:rFonts w:ascii="Times New Roman" w:cs="Times New Roman" w:eastAsia="Times New Roman" w:hAnsi="Times New Roman"/>
          <w:color w:val="262626"/>
          <w:sz w:val="24"/>
          <w:szCs w:val="24"/>
        </w:rPr>
        <w:t xml:space="preserve">Từ kết quả khảo sát và phân tích thực trạng trên, dự án </w:t>
      </w:r>
      <w:r>
        <w:rPr>
          <w:rFonts w:ascii="Times New Roman" w:cs="Times New Roman" w:eastAsia="Times New Roman" w:hAnsi="Times New Roman"/>
          <w:b/>
          <w:bCs/>
          <w:color w:val="262626"/>
          <w:sz w:val="24"/>
          <w:szCs w:val="24"/>
        </w:rPr>
        <w:t xml:space="preserve">Smart TechRepair Hub</w:t>
      </w:r>
      <w:r>
        <w:rPr>
          <w:rFonts w:ascii="Times New Roman" w:cs="Times New Roman" w:eastAsia="Times New Roman" w:hAnsi="Times New Roman"/>
          <w:color w:val="262626"/>
          <w:sz w:val="24"/>
          <w:szCs w:val="24"/>
        </w:rPr>
        <w:t xml:space="preserve"> được đề xuất xây dựng nhằm mang lại một giải pháp phần mềm toàn diện, khắc phục hoàn toàn các nhược điểm của các phần mềm hiện có.</w:t>
      </w:r>
    </w:p>
    <w:p>
      <w:pPr>
        <w:spacing w:after="120" w:before="60" w:line="280"/>
      </w:pPr>
      <w:r>
        <w:rPr>
          <w:rFonts w:ascii="Times New Roman" w:cs="Times New Roman" w:eastAsia="Times New Roman" w:hAnsi="Times New Roman"/>
          <w:color w:val="262626"/>
          <w:sz w:val="24"/>
          <w:szCs w:val="24"/>
        </w:rPr>
        <w:t xml:space="preserve">Hệ thống Smart TechRepair Hub được thiết kế tập trung vào các giá trị cốt lõi:</w:t>
      </w:r>
    </w:p>
    <w:p>
      <w:pPr>
        <w:pStyle w:val="ListParagraph"/>
        <w:numPr>
          <w:ilvl w:val="0"/>
          <w:numId w:val="1"/>
        </w:numPr>
        <w:spacing w:after="80" w:before="40" w:line="260"/>
      </w:pPr>
      <w:r>
        <w:rPr>
          <w:rFonts w:ascii="Times New Roman" w:cs="Times New Roman" w:eastAsia="Times New Roman" w:hAnsi="Times New Roman"/>
          <w:b/>
          <w:bCs/>
          <w:color w:val="262626"/>
          <w:sz w:val="24"/>
          <w:szCs w:val="24"/>
        </w:rPr>
        <w:t xml:space="preserve">Minh bạch tối đa với Khách hàng (Customer Transparence): </w:t>
      </w:r>
      <w:r>
        <w:rPr>
          <w:rFonts w:ascii="Times New Roman" w:cs="Times New Roman" w:eastAsia="Times New Roman" w:hAnsi="Times New Roman"/>
          <w:color w:val="262626"/>
          <w:sz w:val="24"/>
          <w:szCs w:val="24"/>
        </w:rPr>
        <w:t xml:space="preserve">Cung cấp cổng tra cứu không cần đăng nhập, xem rõ ảnh ngoại quan ban đầu và nút duyệt báo giá 1-click.</w:t>
      </w:r>
    </w:p>
    <w:p>
      <w:pPr>
        <w:pStyle w:val="ListParagraph"/>
        <w:numPr>
          <w:ilvl w:val="0"/>
          <w:numId w:val="1"/>
        </w:numPr>
        <w:spacing w:after="80" w:before="40" w:line="260"/>
      </w:pPr>
      <w:r>
        <w:rPr>
          <w:rFonts w:ascii="Times New Roman" w:cs="Times New Roman" w:eastAsia="Times New Roman" w:hAnsi="Times New Roman"/>
          <w:b/>
          <w:bCs/>
          <w:color w:val="262626"/>
          <w:sz w:val="24"/>
          <w:szCs w:val="24"/>
        </w:rPr>
        <w:t xml:space="preserve">Chặt chẽ trong Quản lý Kho (Strict Inventory Control): </w:t>
      </w:r>
      <w:r>
        <w:rPr>
          <w:rFonts w:ascii="Times New Roman" w:cs="Times New Roman" w:eastAsia="Times New Roman" w:hAnsi="Times New Roman"/>
          <w:color w:val="262626"/>
          <w:sz w:val="24"/>
          <w:szCs w:val="24"/>
        </w:rPr>
        <w:t xml:space="preserve">Quản lý linh kiện chính xác theo mã Serial/IMEI, loại bỏ nguy cơ thất thoát kho.</w:t>
      </w:r>
    </w:p>
    <w:p>
      <w:pPr>
        <w:pStyle w:val="ListParagraph"/>
        <w:numPr>
          <w:ilvl w:val="0"/>
          <w:numId w:val="1"/>
        </w:numPr>
        <w:spacing w:after="80" w:before="40" w:line="260"/>
      </w:pPr>
      <w:r>
        <w:rPr>
          <w:rFonts w:ascii="Times New Roman" w:cs="Times New Roman" w:eastAsia="Times New Roman" w:hAnsi="Times New Roman"/>
          <w:b/>
          <w:bCs/>
          <w:color w:val="262626"/>
          <w:sz w:val="24"/>
          <w:szCs w:val="24"/>
        </w:rPr>
        <w:t xml:space="preserve">Tối ưu hiệu suất Kỹ thuật viên &amp; Quản trị (Productivity &amp; Analytics): </w:t>
      </w:r>
      <w:r>
        <w:rPr>
          <w:rFonts w:ascii="Times New Roman" w:cs="Times New Roman" w:eastAsia="Times New Roman" w:hAnsi="Times New Roman"/>
          <w:color w:val="262626"/>
          <w:sz w:val="24"/>
          <w:szCs w:val="24"/>
        </w:rPr>
        <w:t xml:space="preserve">Tự động hóa thông báo, cấp mã Tracking độc nhất và cung cấp báo cáo hiệu suất chi tiết.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auto" w:sz="0"/>
              <w:left w:val="single" w:color="2F5597" w:sz="24"/>
              <w:bottom w:val="none" w:color="auto" w:sz="0"/>
              <w:right w:val="none" w:color="auto" w:sz="0"/>
            </w:tcBorders>
            <w:shd w:fill="EBF1F5" w:val="clear"/>
            <w:tcMar>
              <w:top w:type="dxa" w:w="120"/>
              <w:left w:type="dxa" w:w="200"/>
              <w:bottom w:type="dxa" w:w="120"/>
              <w:right w:type="dxa" w:w="200"/>
            </w:tcMar>
          </w:tcPr>
          <w:p>
            <w:pPr>
              <w:spacing w:after="80" w:before="60"/>
            </w:pPr>
            <w:r>
              <w:rPr>
                <w:rFonts w:ascii="Times New Roman" w:cs="Times New Roman" w:eastAsia="Times New Roman" w:hAnsi="Times New Roman"/>
                <w:b/>
                <w:bCs/>
                <w:color w:val="1F4E78"/>
                <w:sz w:val="24"/>
                <w:szCs w:val="24"/>
              </w:rPr>
              <w:t xml:space="preserve">📌 KẾT LUẬN CHƯƠNG 1</w:t>
            </w:r>
          </w:p>
          <w:p>
            <w:pPr>
              <w:spacing w:after="40" w:before="40"/>
            </w:pPr>
            <w:r>
              <w:rPr>
                <w:rFonts w:ascii="Times New Roman" w:cs="Times New Roman" w:eastAsia="Times New Roman" w:hAnsi="Times New Roman"/>
                <w:color w:val="262626"/>
                <w:sz w:val="22"/>
                <w:szCs w:val="22"/>
              </w:rPr>
              <w:t xml:space="preserve">Khảo sát thực tế cho thấy nhu cầu xây dựng một phần mềm quản lý trung tâm sửa chữa chuyên nghiệp, giá thành hợp lý và tối ưu cho thị trường Việt Nam là vô cùng cấp thiết.</w:t>
            </w:r>
          </w:p>
          <w:p>
            <w:pPr>
              <w:spacing w:after="40" w:before="40"/>
            </w:pPr>
            <w:r>
              <w:rPr>
                <w:rFonts w:ascii="Times New Roman" w:cs="Times New Roman" w:eastAsia="Times New Roman" w:hAnsi="Times New Roman"/>
                <w:color w:val="262626"/>
                <w:sz w:val="22"/>
                <w:szCs w:val="22"/>
              </w:rPr>
              <w:t xml:space="preserve">Giải pháp Smart TechRepair Hub chính là câu trả lời toàn diện đáp ứng đầy đủ các yêu cầu nghiệp vụ và công nghệ hiện đại.</w:t>
            </w:r>
          </w:p>
        </w:tc>
      </w:tr>
    </w:tbl>
    <w:sectPr>
      <w:pgSz w:w="11906" w:h="16838"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2026-08-26T15:09:20.464Z</dcterms:created>
  <dcterms:modified xsi:type="dcterms:W3CDTF">2026-08-26T15:09:20.464Z</dcterms:modified>
</cp:coreProperties>
</file>

<file path=docProps/custom.xml><?xml version="1.0" encoding="utf-8"?>
<Properties xmlns="http://schemas.openxmlformats.org/officeDocument/2006/custom-properties" xmlns:vt="http://schemas.openxmlformats.org/officeDocument/2006/docPropsVTypes"/>
</file>