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Local Agricultural Promotion Web App – Rescue Agriculture Campaign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Dương Mạnh Tiến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Process Impact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May 27,2025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vv7s54fedyy"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_vv7s54fedyy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"_vv7s54fedyy"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_dfexzsyfsmye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"_dfexzsyfsmye"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w:t>
            <w:tab/>
          </w:r>
          <w:r w:rsidDel="00000000" w:rsidR="00000000" w:rsidRPr="00000000">
            <w:fldChar w:fldCharType="begin"/>
            <w:instrText xml:space="preserve"> PAGEREF _yyg1r8yppqwu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"_yyg1r8yppqwu"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r>
          <w:r w:rsidDel="00000000" w:rsidR="00000000" w:rsidRPr="00000000">
            <w:fldChar w:fldCharType="begin"/>
            <w:instrText xml:space="preserve"> PAGEREF _mfbs0wrlrgj4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"_mfbs0wrlrgj4"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Opportunity</w:t>
            <w:tab/>
          </w:r>
          <w:r w:rsidDel="00000000" w:rsidR="00000000" w:rsidRPr="00000000">
            <w:fldChar w:fldCharType="begin"/>
            <w:instrText xml:space="preserve"> PAGEREF _h8v5kkom95cw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"_h8v5kkom95cw"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Objectives</w:t>
            <w:tab/>
          </w:r>
          <w:r w:rsidDel="00000000" w:rsidR="00000000" w:rsidRPr="00000000">
            <w:fldChar w:fldCharType="begin"/>
            <w:instrText xml:space="preserve"> PAGEREF _44mjdshmkdnq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"_44mjdshmkdnq"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Metrics</w:t>
            <w:tab/>
          </w:r>
          <w:r w:rsidDel="00000000" w:rsidR="00000000" w:rsidRPr="00000000">
            <w:fldChar w:fldCharType="begin"/>
            <w:instrText xml:space="preserve"> PAGEREF _bf716r171w5w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"_bf716r171w5w"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Statement</w:t>
            <w:tab/>
          </w:r>
          <w:r w:rsidDel="00000000" w:rsidR="00000000" w:rsidRPr="00000000">
            <w:fldChar w:fldCharType="begin"/>
            <w:instrText xml:space="preserve"> PAGEREF _5fzxbavdeux1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"_5fzxbavdeux1"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Risks</w:t>
            <w:tab/>
          </w:r>
          <w:r w:rsidDel="00000000" w:rsidR="00000000" w:rsidRPr="00000000">
            <w:fldChar w:fldCharType="begin"/>
            <w:instrText xml:space="preserve"> PAGEREF _pf6jj7cvbfx5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"_pf6jj7cvbfx5"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Assumptions and Dependencies</w:t>
            <w:tab/>
          </w:r>
          <w:r w:rsidDel="00000000" w:rsidR="00000000" w:rsidRPr="00000000">
            <w:fldChar w:fldCharType="begin"/>
            <w:instrText xml:space="preserve"> PAGEREF _ubjmm14ggsjj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"_ubjmm14ggsjj"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Limitations</w:t>
            <w:tab/>
          </w:r>
          <w:r w:rsidDel="00000000" w:rsidR="00000000" w:rsidRPr="00000000">
            <w:fldChar w:fldCharType="begin"/>
            <w:instrText xml:space="preserve"> PAGEREF _hxut3hz2t037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"_hxut3hz2t037"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Features</w:t>
            <w:tab/>
          </w:r>
          <w:r w:rsidDel="00000000" w:rsidR="00000000" w:rsidRPr="00000000">
            <w:fldChar w:fldCharType="begin"/>
            <w:instrText xml:space="preserve"> PAGEREF _sptux6rk4q0x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"_sptux6rk4q0x"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Initial and Subsequent Releases</w:t>
            <w:tab/>
          </w:r>
          <w:r w:rsidDel="00000000" w:rsidR="00000000" w:rsidRPr="00000000">
            <w:fldChar w:fldCharType="begin"/>
            <w:instrText xml:space="preserve"> PAGEREF _2n8429wgcp0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"_2n8429wgcp0"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Exclusions</w:t>
            <w:tab/>
          </w:r>
          <w:r w:rsidDel="00000000" w:rsidR="00000000" w:rsidRPr="00000000">
            <w:fldChar w:fldCharType="begin"/>
            <w:instrText xml:space="preserve"> PAGEREF _pbe2068afo0f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"_pbe2068afo0f"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Context</w:t>
            <w:tab/>
          </w:r>
          <w:r w:rsidDel="00000000" w:rsidR="00000000" w:rsidRPr="00000000">
            <w:fldChar w:fldCharType="begin"/>
            <w:instrText xml:space="preserve"> PAGEREF _fwqc4pe49wgv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"_fwqc4pe49wgv"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Profiles</w:t>
            <w:tab/>
          </w:r>
          <w:r w:rsidDel="00000000" w:rsidR="00000000" w:rsidRPr="00000000">
            <w:fldChar w:fldCharType="begin"/>
            <w:instrText xml:space="preserve"> PAGEREF _g148il3oxvp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"_g148il3oxvp"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Priorities</w:t>
            <w:tab/>
          </w:r>
          <w:r w:rsidDel="00000000" w:rsidR="00000000" w:rsidRPr="00000000">
            <w:fldChar w:fldCharType="begin"/>
            <w:instrText xml:space="preserve"> PAGEREF _bdjzkllqbgez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"_bdjzkllqbgez"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Considerations</w:t>
            <w:tab/>
          </w:r>
          <w:r w:rsidDel="00000000" w:rsidR="00000000" w:rsidRPr="00000000">
            <w:fldChar w:fldCharType="begin"/>
            <w:instrText xml:space="preserve"> PAGEREF _fv2ftshhm5mk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"_fv2ftshhm5mk"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dfexzsyfsmye"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8">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A">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C">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rtl w:val="0"/>
              </w:rPr>
            </w:r>
          </w:p>
        </w:tc>
      </w:tr>
    </w:tbl>
    <w:p w:rsidR="00000000" w:rsidDel="00000000" w:rsidP="00000000" w:rsidRDefault="00000000" w:rsidRPr="00000000" w14:paraId="00000030">
      <w:pPr>
        <w:rPr>
          <w:sz w:val="32"/>
          <w:szCs w:val="32"/>
        </w:rPr>
        <w:sectPr>
          <w:headerReference r:id="rId7" w:type="default"/>
          <w:footerReference r:id="rId8"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1">
      <w:pPr>
        <w:pStyle w:val="Heading1"/>
        <w:numPr>
          <w:ilvl w:val="0"/>
          <w:numId w:val="3"/>
        </w:numPr>
        <w:ind w:left="432" w:hanging="432"/>
        <w:rPr/>
      </w:pPr>
      <w:bookmarkStart w:colFirst="0" w:colLast="0" w:name="_yyg1r8yppqwu" w:id="2"/>
      <w:bookmarkEnd w:id="2"/>
      <w:r w:rsidDel="00000000" w:rsidR="00000000" w:rsidRPr="00000000">
        <w:rPr>
          <w:rtl w:val="0"/>
        </w:rPr>
        <w:t xml:space="preserve">Business Requirements</w:t>
      </w:r>
    </w:p>
    <w:p w:rsidR="00000000" w:rsidDel="00000000" w:rsidP="00000000" w:rsidRDefault="00000000" w:rsidRPr="00000000" w14:paraId="00000032">
      <w:pPr>
        <w:pStyle w:val="Heading2"/>
        <w:numPr>
          <w:ilvl w:val="1"/>
          <w:numId w:val="3"/>
        </w:numPr>
        <w:ind w:left="860" w:hanging="576"/>
        <w:rPr/>
      </w:pPr>
      <w:bookmarkStart w:colFirst="0" w:colLast="0" w:name="_mfbs0wrlrgj4" w:id="3"/>
      <w:bookmarkEnd w:id="3"/>
      <w:r w:rsidDel="00000000" w:rsidR="00000000" w:rsidRPr="00000000">
        <w:rPr>
          <w:rtl w:val="0"/>
        </w:rPr>
        <w:t xml:space="preserve">Background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8v5kkom95cw"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Vietnam, the problem of agricultural product surplus due to overproduction, ineffective distribution channels, and market fluctuations has persisted for years. Many “rescue agriculture” campaigns are launched spontaneously, lacking coordination and technological support. Farmers and cooperatives struggle to reach consumers and promote their products, while buyers lack trusted information to make informed decisions.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digital platform is essential to digitize the rescue process, improving the connection between producers, consumers, sponsors, and volunteers through a centralized, transparent, and user-friendly system.</w:t>
      </w:r>
    </w:p>
    <w:p w:rsidR="00000000" w:rsidDel="00000000" w:rsidP="00000000" w:rsidRDefault="00000000" w:rsidRPr="00000000" w14:paraId="00000035">
      <w:pPr>
        <w:pStyle w:val="Heading2"/>
        <w:numPr>
          <w:ilvl w:val="1"/>
          <w:numId w:val="3"/>
        </w:numPr>
        <w:ind w:left="860" w:hanging="576"/>
        <w:rPr/>
      </w:pPr>
      <w:r w:rsidDel="00000000" w:rsidR="00000000" w:rsidRPr="00000000">
        <w:rPr>
          <w:rtl w:val="0"/>
        </w:rPr>
        <w:t xml:space="preserve">Business Opportunity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mjdshmkdnq"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app presents an opportunity to transition from manual “rescue” models to a digital-first approach, expanding the reach and sustainability of farmer support. Consumers gain access to transparent product information, can easily purchase goods, and share campaigns via social media.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farmers, the platform provides tools to launch campaigns, manage stock, and engage directly with buyers. Sponsors, organizations, and volunteers also benefit from a transparent, efficient way to contribute, fostering a long-term community-driven agricultural support ecosystem.</w:t>
      </w:r>
    </w:p>
    <w:p w:rsidR="00000000" w:rsidDel="00000000" w:rsidP="00000000" w:rsidRDefault="00000000" w:rsidRPr="00000000" w14:paraId="00000038">
      <w:pPr>
        <w:pStyle w:val="Heading2"/>
        <w:numPr>
          <w:ilvl w:val="1"/>
          <w:numId w:val="3"/>
        </w:numPr>
        <w:ind w:left="860" w:hanging="576"/>
        <w:rPr/>
      </w:pPr>
      <w:r w:rsidDel="00000000" w:rsidR="00000000" w:rsidRPr="00000000">
        <w:rPr>
          <w:rtl w:val="0"/>
        </w:rPr>
        <w:t xml:space="preserve">Business Objectives</w:t>
      </w:r>
    </w:p>
    <w:p w:rsidR="00000000" w:rsidDel="00000000" w:rsidP="00000000" w:rsidRDefault="00000000" w:rsidRPr="00000000" w14:paraId="00000039">
      <w:pPr>
        <w:spacing w:line="276" w:lineRule="auto"/>
        <w:rPr/>
      </w:pPr>
      <w:bookmarkStart w:colFirst="0" w:colLast="0" w:name="_bf716r171w5w" w:id="6"/>
      <w:bookmarkEnd w:id="6"/>
      <w:r w:rsidDel="00000000" w:rsidR="00000000" w:rsidRPr="00000000">
        <w:rPr>
          <w:rtl w:val="0"/>
        </w:rPr>
        <w:t xml:space="preserve">- Increase agricultural product clearance rate by at least 30% within 6 months.</w:t>
        <w:br w:type="textWrapping"/>
        <w:t xml:space="preserve">- Reduce waste and inventory costs by at least 20% within 1 year.</w:t>
        <w:br w:type="textWrapping"/>
        <w:t xml:space="preserve">- Attract at least 2,000 registered users within the first 6 months.</w:t>
      </w:r>
    </w:p>
    <w:p w:rsidR="00000000" w:rsidDel="00000000" w:rsidP="00000000" w:rsidRDefault="00000000" w:rsidRPr="00000000" w14:paraId="0000003A">
      <w:pPr>
        <w:pStyle w:val="Heading2"/>
        <w:numPr>
          <w:ilvl w:val="1"/>
          <w:numId w:val="3"/>
        </w:numPr>
        <w:ind w:left="860" w:hanging="576"/>
        <w:rPr/>
      </w:pPr>
      <w:r w:rsidDel="00000000" w:rsidR="00000000" w:rsidRPr="00000000">
        <w:rPr>
          <w:rtl w:val="0"/>
        </w:rPr>
        <w:t xml:space="preserve">Success Metrics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5fzxbavdeux1" w:id="7"/>
      <w:bookmarkEnd w:id="7"/>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SM-1: At least 70% of users rate their satisfaction ≥ 4 stars after purchases.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SM-2: 80% of campaigns reach their minimum goal within 30 days Vision Statement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SM-3: At least 40 farmers/cooperatives register within the first quarter.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3"/>
        </w:numPr>
        <w:ind w:left="860" w:hanging="576"/>
        <w:rPr/>
      </w:pPr>
      <w:r w:rsidDel="00000000" w:rsidR="00000000" w:rsidRPr="00000000">
        <w:rPr>
          <w:rtl w:val="0"/>
        </w:rPr>
        <w:t xml:space="preserve">Vision Statement</w:t>
      </w:r>
    </w:p>
    <w:p w:rsidR="00000000" w:rsidDel="00000000" w:rsidP="00000000" w:rsidRDefault="00000000" w:rsidRPr="00000000" w14:paraId="00000040">
      <w:pPr>
        <w:spacing w:line="276" w:lineRule="auto"/>
        <w:rPr/>
      </w:pPr>
      <w:r w:rsidDel="00000000" w:rsidR="00000000" w:rsidRPr="00000000">
        <w:rPr>
          <w:rtl w:val="0"/>
        </w:rPr>
        <w:t xml:space="preserve">For consumers who want to support local farmers and access affordable, quality produce, the Rescue Agriculture Web App is a web-based and mobile-responsive platform that enables browsing of verified campaigns, secure purchases, real-time updates, and community-driven participation. Unlike traditional, spontaneous rescue efforts managed through social media and manual coordination, this system offers a centralized, transparent, and efficient way to connect farmers, buyers, sponsors, and volunteers, ensuring timely sales and reduced agricultural waste.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3"/>
        </w:numPr>
        <w:ind w:left="860" w:hanging="576"/>
        <w:rPr/>
      </w:pPr>
      <w:bookmarkStart w:colFirst="0" w:colLast="0" w:name="_pf6jj7cvbfx5" w:id="8"/>
      <w:bookmarkEnd w:id="8"/>
      <w:r w:rsidDel="00000000" w:rsidR="00000000" w:rsidRPr="00000000">
        <w:rPr>
          <w:rtl w:val="0"/>
        </w:rPr>
        <w:t xml:space="preserve">Business Risks</w:t>
      </w:r>
    </w:p>
    <w:p w:rsidR="00000000" w:rsidDel="00000000" w:rsidP="00000000" w:rsidRDefault="00000000" w:rsidRPr="00000000" w14:paraId="00000044">
      <w:pPr>
        <w:spacing w:line="276" w:lineRule="auto"/>
        <w:rPr/>
      </w:pPr>
      <w:r w:rsidDel="00000000" w:rsidR="00000000" w:rsidRPr="00000000">
        <w:rPr>
          <w:rtl w:val="0"/>
        </w:rPr>
        <w:t xml:space="preserve">- R1: Low digital literacy among farmers (Probability: 0.6; Impact: 6)</w:t>
        <w:br w:type="textWrapping"/>
        <w:t xml:space="preserve">- R2: Insufficient logistics for bulk orders (Probability: 0.5; Impact: 7)</w:t>
        <w:br w:type="textWrapping"/>
        <w:t xml:space="preserve">- R3: Uneven product quality affecting platform reputation (Probability: 0.4; Impact: 8)</w:t>
        <w:br w:type="textWrapping"/>
        <w:t xml:space="preserve">- R4: Competition from large e-commerce platforms (Probability: 0.3; Impact: 6)</w:t>
      </w:r>
    </w:p>
    <w:p w:rsidR="00000000" w:rsidDel="00000000" w:rsidP="00000000" w:rsidRDefault="00000000" w:rsidRPr="00000000" w14:paraId="00000045">
      <w:pPr>
        <w:pStyle w:val="Heading2"/>
        <w:numPr>
          <w:ilvl w:val="1"/>
          <w:numId w:val="3"/>
        </w:numPr>
        <w:ind w:left="860" w:hanging="576"/>
        <w:rPr/>
      </w:pPr>
      <w:bookmarkStart w:colFirst="0" w:colLast="0" w:name="_ubjmm14ggsjj" w:id="9"/>
      <w:bookmarkEnd w:id="9"/>
      <w:r w:rsidDel="00000000" w:rsidR="00000000" w:rsidRPr="00000000">
        <w:rPr>
          <w:rtl w:val="0"/>
        </w:rPr>
        <w:t xml:space="preserve"> Business Assumptions and Dependencies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AS-1:</w:t>
        <w:tab/>
        <w:t xml:space="preserve">AS1: Farmers can access the Internet and provide product information..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AS-2:</w:t>
        <w:tab/>
        <w:t xml:space="preserve">Logistics support will be available via volunteers or services..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xut3hz2t037"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DE-1:</w:t>
        <w:tab/>
        <w:t xml:space="preserve">Community sponsors and partners will engage in media and financial support Scope and Limitations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n8429wgcp0"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platform must be hosted on a reliable server with CDN support for fast image delivery.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Responsive design must be ensured for both desktop and mobile devices in the initial version.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 instructional videos (2–5 minutes) should be created to onboard users.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 applications (iOS and Android) are planned for future phases depending on available resources.</w:t>
      </w:r>
    </w:p>
    <w:p w:rsidR="00000000" w:rsidDel="00000000" w:rsidP="00000000" w:rsidRDefault="00000000" w:rsidRPr="00000000" w14:paraId="0000004D">
      <w:pPr>
        <w:pStyle w:val="Heading1"/>
        <w:ind w:left="432" w:hanging="432"/>
        <w:rPr>
          <w:color w:val="000000"/>
        </w:rPr>
      </w:pPr>
      <w:r w:rsidDel="00000000" w:rsidR="00000000" w:rsidRPr="00000000">
        <w:rPr>
          <w:rtl w:val="0"/>
        </w:rPr>
        <w:t xml:space="preserve">2.</w:t>
      </w:r>
      <w:r w:rsidDel="00000000" w:rsidR="00000000" w:rsidRPr="00000000">
        <w:rPr>
          <w:color w:val="000000"/>
          <w:rtl w:val="0"/>
        </w:rPr>
        <w:t xml:space="preserve">Scope and Limitations</w:t>
      </w:r>
    </w:p>
    <w:p w:rsidR="00000000" w:rsidDel="00000000" w:rsidP="00000000" w:rsidRDefault="00000000" w:rsidRPr="00000000" w14:paraId="0000004E">
      <w:pPr>
        <w:pStyle w:val="Heading2"/>
        <w:ind w:left="576" w:hanging="576"/>
        <w:rPr/>
      </w:pPr>
      <w:r w:rsidDel="00000000" w:rsidR="00000000" w:rsidRPr="00000000">
        <w:rPr>
          <w:rtl w:val="0"/>
        </w:rPr>
        <w:t xml:space="preserve">2.1. Major feature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FE-1:</w:t>
        <w:tab/>
        <w:t xml:space="preserve">Homepage displaying featured campaigns, platform mission, and statistics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FE-2: User registration (buyers, farmers, admins, and volunteers).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FE-3:Create and approve agricultural product campaigns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FE-4: Shopping cart, checkout, and order tracking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FE-5: Messaging center, notifications, and product reviews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FE-6: Help center, social media sharing, and multilingual support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FE-7: Admin dashboard for campaign approval and system analytics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color w:val="000000"/>
          <w:rtl w:val="0"/>
        </w:rPr>
        <w:t xml:space="preserve">2.2</w:t>
      </w:r>
      <w:r w:rsidDel="00000000" w:rsidR="00000000" w:rsidRPr="00000000">
        <w:rPr>
          <w:b w:val="0"/>
          <w:color w:val="000000"/>
          <w:sz w:val="48"/>
          <w:szCs w:val="48"/>
          <w:rtl w:val="0"/>
        </w:rPr>
        <w:t xml:space="preserve">. </w:t>
      </w:r>
      <w:r w:rsidDel="00000000" w:rsidR="00000000" w:rsidRPr="00000000">
        <w:rPr>
          <w:rtl w:val="0"/>
        </w:rPr>
        <w:t xml:space="preserve">Scope of Initial and Subsequent Releases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ind w:left="576" w:hanging="576"/>
        <w:rPr/>
      </w:pPr>
      <w:r w:rsidDel="00000000" w:rsidR="00000000" w:rsidRPr="00000000">
        <w:rPr>
          <w:rtl w:val="0"/>
        </w:rPr>
      </w:r>
    </w:p>
    <w:tbl>
      <w:tblPr>
        <w:tblStyle w:val="Table2"/>
        <w:tblW w:w="9495.0" w:type="dxa"/>
        <w:jc w:val="left"/>
        <w:tblLayout w:type="fixed"/>
        <w:tblLook w:val="0000"/>
      </w:tblPr>
      <w:tblGrid>
        <w:gridCol w:w="1904"/>
        <w:gridCol w:w="2670"/>
        <w:gridCol w:w="2731"/>
        <w:gridCol w:w="2190"/>
        <w:tblGridChange w:id="0">
          <w:tblGrid>
            <w:gridCol w:w="1904"/>
            <w:gridCol w:w="2670"/>
            <w:gridCol w:w="2731"/>
            <w:gridCol w:w="21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d9d9d9" w:val="clear"/>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1</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2</w:t>
            </w:r>
          </w:p>
        </w:tc>
        <w:tc>
          <w:tcPr>
            <w:tcBorders>
              <w:top w:color="000000" w:space="0" w:sz="12" w:val="single"/>
              <w:left w:color="000000" w:space="0" w:sz="6" w:val="single"/>
              <w:bottom w:color="000000" w:space="0" w:sz="12" w:val="single"/>
              <w:right w:color="000000" w:space="0" w:sz="12" w:val="single"/>
            </w:tcBorders>
            <w:shd w:fill="d9d9d9" w:val="clear"/>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3</w:t>
            </w:r>
          </w:p>
        </w:tc>
      </w:tr>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FE-1, User registration &amp; login</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Email/password login for buyers and farmers</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Volunteer and sponsor accounts added</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login suppor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FE-2, Campaign creation &amp; management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Farmers can create and edit campaigns before approval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Campaign analytics dashboard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scheduling tools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FE-3, Cart &amp; checkout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cart and COD/transfer payment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payment gateway integration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Loyalty points system (optional)</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FE-4, Messaging &amp; notification </w:t>
            </w:r>
            <w:r w:rsidDel="00000000" w:rsidR="00000000" w:rsidRPr="00000000">
              <w:rPr>
                <w:rFonts w:ascii="Arial" w:cs="Arial" w:eastAsia="Arial" w:hAnsi="Arial"/>
                <w:sz w:val="20"/>
                <w:szCs w:val="20"/>
                <w:rtl w:val="0"/>
              </w:rPr>
              <w:t xml:space="preserve">center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1-to-1 chat and notifications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messages and order-based alerts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Push notifications (via mobile app</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FE-5, Admin dashboard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Approve/reject campaigns, view user list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analytics and platform reports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 data and advanced moderation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FE-6, Product inventory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implemented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Farmers can manage stock and auto-disable out-of-stock products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FE-7, Sponsorship &amp; acknowledgment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implemented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Sponsors can contribute and be listed publicly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FE-8, Volunteer registration and dashboard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implemented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Volunteer registration and dashboard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FE-9, Mobile app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implemented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iOS and Android apps with order tracking</w:t>
            </w:r>
          </w:p>
        </w:tc>
      </w:tr>
    </w:tbl>
    <w:p w:rsidR="00000000" w:rsidDel="00000000" w:rsidP="00000000" w:rsidRDefault="00000000" w:rsidRPr="00000000" w14:paraId="00000093">
      <w:pPr>
        <w:pStyle w:val="Heading2"/>
        <w:numPr>
          <w:ilvl w:val="1"/>
          <w:numId w:val="1"/>
        </w:numPr>
        <w:ind w:left="860" w:hanging="576"/>
        <w:rPr/>
      </w:pPr>
      <w:bookmarkStart w:colFirst="0" w:colLast="0" w:name="_pbe2068afo0f" w:id="12"/>
      <w:bookmarkEnd w:id="12"/>
      <w:r w:rsidDel="00000000" w:rsidR="00000000" w:rsidRPr="00000000">
        <w:rPr>
          <w:rtl w:val="0"/>
        </w:rPr>
        <w:t xml:space="preserve">Limitations and Exclusions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LI-1:</w:t>
        <w:tab/>
        <w:t xml:space="preserve">The platform does not guarantee the actual quality of agricultural products, as it depends on the sellers.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LI-2:</w:t>
        <w:tab/>
        <w:t xml:space="preserve">Initial delivery services will be limited to Hanoi or specific operational zones.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LI-3: The platform does not directly handle disputes; it only acts as a supportive intermediary.</w:t>
      </w:r>
    </w:p>
    <w:p w:rsidR="00000000" w:rsidDel="00000000" w:rsidP="00000000" w:rsidRDefault="00000000" w:rsidRPr="00000000" w14:paraId="00000097">
      <w:pPr>
        <w:pStyle w:val="Heading1"/>
        <w:numPr>
          <w:ilvl w:val="0"/>
          <w:numId w:val="2"/>
        </w:numPr>
        <w:ind w:left="432" w:hanging="432"/>
        <w:rPr/>
      </w:pPr>
      <w:bookmarkStart w:colFirst="0" w:colLast="0" w:name="_fwqc4pe49wgv" w:id="13"/>
      <w:bookmarkEnd w:id="13"/>
      <w:r w:rsidDel="00000000" w:rsidR="00000000" w:rsidRPr="00000000">
        <w:rPr>
          <w:rtl w:val="0"/>
        </w:rPr>
        <w:t xml:space="preserve">Business Context</w:t>
      </w:r>
    </w:p>
    <w:p w:rsidR="00000000" w:rsidDel="00000000" w:rsidP="00000000" w:rsidRDefault="00000000" w:rsidRPr="00000000" w14:paraId="00000098">
      <w:pPr>
        <w:pStyle w:val="Heading2"/>
        <w:numPr>
          <w:ilvl w:val="1"/>
          <w:numId w:val="2"/>
        </w:numPr>
        <w:ind w:left="860" w:hanging="576"/>
        <w:rPr/>
      </w:pPr>
      <w:bookmarkStart w:colFirst="0" w:colLast="0" w:name="_g148il3oxvp" w:id="14"/>
      <w:bookmarkEnd w:id="14"/>
      <w:r w:rsidDel="00000000" w:rsidR="00000000" w:rsidRPr="00000000">
        <w:rPr>
          <w:rtl w:val="0"/>
        </w:rPr>
        <w:t xml:space="preserve">Stakeholder Profiles</w:t>
      </w:r>
    </w:p>
    <w:tbl>
      <w:tblPr>
        <w:tblStyle w:val="Table3"/>
        <w:tblW w:w="955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2002"/>
        <w:gridCol w:w="2003"/>
        <w:gridCol w:w="2002"/>
        <w:gridCol w:w="2003"/>
        <w:tblGridChange w:id="0">
          <w:tblGrid>
            <w:gridCol w:w="1548"/>
            <w:gridCol w:w="2002"/>
            <w:gridCol w:w="2003"/>
            <w:gridCol w:w="2002"/>
            <w:gridCol w:w="2003"/>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Value</w:t>
            </w:r>
          </w:p>
        </w:tc>
        <w:tc>
          <w:tcPr>
            <w:tcBorders>
              <w:top w:color="000000" w:space="0" w:sz="12" w:val="single"/>
              <w:bottom w:color="000000" w:space="0" w:sz="12" w:val="single"/>
            </w:tcBorders>
            <w:shd w:fill="d9d9d9" w:val="clear"/>
          </w:tcPr>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Attitudes</w:t>
            </w:r>
          </w:p>
        </w:tc>
        <w:tc>
          <w:tcPr>
            <w:tcBorders>
              <w:top w:color="000000" w:space="0" w:sz="12" w:val="single"/>
              <w:bottom w:color="000000" w:space="0" w:sz="12" w:val="single"/>
            </w:tcBorders>
            <w:shd w:fill="d9d9d9" w:val="clear"/>
          </w:tcPr>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Interests</w:t>
            </w:r>
          </w:p>
        </w:tc>
        <w:tc>
          <w:tcPr>
            <w:tcBorders>
              <w:top w:color="000000" w:space="0" w:sz="12" w:val="single"/>
              <w:bottom w:color="000000" w:space="0" w:sz="12" w:val="single"/>
            </w:tcBorders>
            <w:shd w:fill="d9d9d9" w:val="clear"/>
          </w:tcPr>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p>
        </w:tc>
      </w:tr>
      <w:tr>
        <w:trPr>
          <w:cantSplit w:val="0"/>
          <w:tblHeader w:val="0"/>
        </w:trPr>
        <w:tc>
          <w:tcPr>
            <w:tcBorders>
              <w:top w:color="000000" w:space="0" w:sz="0" w:val="nil"/>
            </w:tcBorders>
          </w:tcPr>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Farmers/Cooperatives</w:t>
            </w:r>
          </w:p>
        </w:tc>
        <w:tc>
          <w:tcPr>
            <w:tcBorders>
              <w:top w:color="000000" w:space="0" w:sz="0" w:val="nil"/>
            </w:tcBorders>
          </w:tcPr>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Sell products, increase income</w:t>
            </w:r>
          </w:p>
        </w:tc>
        <w:tc>
          <w:tcPr>
            <w:tcBorders>
              <w:top w:color="000000" w:space="0" w:sz="0" w:val="nil"/>
            </w:tcBorders>
          </w:tcPr>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Sell products, increase income</w:t>
            </w:r>
          </w:p>
        </w:tc>
        <w:tc>
          <w:tcPr>
            <w:tcBorders>
              <w:top w:color="000000" w:space="0" w:sz="0" w:val="nil"/>
            </w:tcBorders>
          </w:tcPr>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Easy-to-use platform; fast approval of campaigns; tools to manage inventory</w:t>
            </w:r>
          </w:p>
        </w:tc>
        <w:tc>
          <w:tcPr>
            <w:tcBorders>
              <w:top w:color="000000" w:space="0" w:sz="0" w:val="nil"/>
            </w:tcBorders>
          </w:tcPr>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Limited digital literacy</w:t>
            </w:r>
          </w:p>
        </w:tc>
      </w:tr>
      <w:tr>
        <w:trPr>
          <w:cantSplit w:val="0"/>
          <w:tblHeader w:val="0"/>
        </w:trPr>
        <w:tc>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Buyers</w:t>
            </w:r>
          </w:p>
        </w:tc>
        <w:tc>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Convenient access to fresh, local produce</w:t>
            </w:r>
          </w:p>
        </w:tc>
        <w:tc>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Supportive if platform is trustworthy and transparent</w:t>
            </w:r>
          </w:p>
        </w:tc>
        <w:tc>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quality assurance; secure payment; delivery tracking</w:t>
            </w:r>
          </w:p>
        </w:tc>
        <w:tc>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access; delivery zone limitations</w:t>
            </w:r>
          </w:p>
        </w:tc>
      </w:tr>
      <w:tr>
        <w:trPr>
          <w:cantSplit w:val="0"/>
          <w:trHeight w:val="858" w:hRule="atLeast"/>
          <w:tblHeader w:val="0"/>
        </w:trPr>
        <w:tc>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Admins</w:t>
            </w:r>
          </w:p>
        </w:tc>
        <w:tc>
          <w:tcPr/>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over platform operations and safety</w:t>
            </w:r>
          </w:p>
        </w:tc>
        <w:tc>
          <w:tcPr/>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Committed to effective governance</w:t>
            </w:r>
          </w:p>
        </w:tc>
        <w:tc>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Efficient review tools; user management; content moderation</w:t>
            </w:r>
          </w:p>
        </w:tc>
        <w:tc>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Limited staffing in early phases</w:t>
            </w:r>
          </w:p>
        </w:tc>
      </w:tr>
      <w:tr>
        <w:trPr>
          <w:cantSplit w:val="0"/>
          <w:tblHeader w:val="0"/>
        </w:trPr>
        <w:tc>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Volunteers</w:t>
            </w:r>
          </w:p>
        </w:tc>
        <w:tc>
          <w:tcPr/>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Contribute to community and logistics efforts</w:t>
            </w:r>
          </w:p>
        </w:tc>
        <w:tc>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Enthusiastic but need coordination</w:t>
            </w:r>
          </w:p>
        </w:tc>
        <w:tc>
          <w:tcPr/>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task lists; flexible scheduling; performance tracking</w:t>
            </w:r>
          </w:p>
        </w:tc>
        <w:tc>
          <w:tcPr/>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 varies</w:t>
            </w:r>
          </w:p>
        </w:tc>
      </w:tr>
      <w:tr>
        <w:trPr>
          <w:cantSplit w:val="0"/>
          <w:tblHeader w:val="0"/>
        </w:trPr>
        <w:tc>
          <w:tcPr/>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Sponsors</w:t>
            </w:r>
          </w:p>
        </w:tc>
        <w:tc>
          <w:tcPr/>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Brand exposure; social responsibility</w:t>
            </w:r>
          </w:p>
        </w:tc>
        <w:tc>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Supportive if impact is visible</w:t>
            </w:r>
          </w:p>
        </w:tc>
        <w:tc>
          <w:tcPr/>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 recognition; donation tracking; impact metrics</w:t>
            </w:r>
          </w:p>
        </w:tc>
        <w:tc>
          <w:tcPr/>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Limited budget; prefer transparency</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2"/>
        </w:numPr>
        <w:ind w:left="860" w:hanging="576"/>
        <w:rPr/>
      </w:pPr>
      <w:bookmarkStart w:colFirst="0" w:colLast="0" w:name="_bdjzkllqbgez" w:id="15"/>
      <w:bookmarkEnd w:id="15"/>
      <w:r w:rsidDel="00000000" w:rsidR="00000000" w:rsidRPr="00000000">
        <w:rPr>
          <w:rtl w:val="0"/>
        </w:rPr>
        <w:t xml:space="preserve">Project Priorities</w:t>
      </w:r>
    </w:p>
    <w:tbl>
      <w:tblPr>
        <w:tblStyle w:val="Table4"/>
        <w:tblW w:w="9774.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58"/>
        <w:gridCol w:w="2610"/>
        <w:gridCol w:w="2898"/>
        <w:gridCol w:w="2808"/>
        <w:tblGridChange w:id="0">
          <w:tblGrid>
            <w:gridCol w:w="1458"/>
            <w:gridCol w:w="2610"/>
            <w:gridCol w:w="2898"/>
            <w:gridCol w:w="2808"/>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Dimension</w:t>
            </w:r>
          </w:p>
        </w:tc>
        <w:tc>
          <w:tcPr>
            <w:tcBorders>
              <w:top w:color="000000" w:space="0" w:sz="12" w:val="single"/>
              <w:bottom w:color="000000" w:space="0" w:sz="12" w:val="single"/>
            </w:tcBorders>
            <w:shd w:fill="d9d9d9" w:val="clear"/>
          </w:tcPr>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w:t>
            </w:r>
          </w:p>
        </w:tc>
        <w:tc>
          <w:tcPr>
            <w:tcBorders>
              <w:top w:color="000000" w:space="0" w:sz="12" w:val="single"/>
              <w:bottom w:color="000000" w:space="0" w:sz="12" w:val="single"/>
            </w:tcBorders>
            <w:shd w:fill="d9d9d9" w:val="clear"/>
          </w:tcPr>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Driver</w:t>
            </w:r>
          </w:p>
        </w:tc>
        <w:tc>
          <w:tcPr>
            <w:tcBorders>
              <w:top w:color="000000" w:space="0" w:sz="12" w:val="single"/>
              <w:bottom w:color="000000" w:space="0" w:sz="12" w:val="single"/>
            </w:tcBorders>
            <w:shd w:fill="d9d9d9" w:val="clear"/>
          </w:tcPr>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Degree of Freedom</w:t>
            </w:r>
          </w:p>
        </w:tc>
      </w:tr>
      <w:tr>
        <w:trPr>
          <w:cantSplit w:val="0"/>
          <w:tblHeader w:val="0"/>
        </w:trPr>
        <w:tc>
          <w:tcPr/>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p>
        </w:tc>
        <w:tc>
          <w:tcPr/>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features scheduled for release 1.0 must be fully operational</w:t>
            </w:r>
          </w:p>
        </w:tc>
        <w:tc>
          <w:tcPr/>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minor features may be delayed to later releases if time/resources are limited</w:t>
            </w:r>
          </w:p>
        </w:tc>
      </w:tr>
      <w:tr>
        <w:trPr>
          <w:cantSplit w:val="0"/>
          <w:tblHeader w:val="0"/>
        </w:trPr>
        <w:tc>
          <w:tcPr/>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w:t>
            </w:r>
          </w:p>
        </w:tc>
        <w:tc>
          <w:tcPr/>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 of user acceptance tests must pass; all security tests must pass</w:t>
            </w:r>
          </w:p>
        </w:tc>
        <w:tc>
          <w:tcPr/>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Minor cosmetic issues may be fixed post-launch</w:t>
            </w:r>
          </w:p>
        </w:tc>
      </w:tr>
      <w:tr>
        <w:trPr>
          <w:cantSplit w:val="0"/>
          <w:tblHeader w:val="0"/>
        </w:trPr>
        <w:tc>
          <w:tcPr>
            <w:tcBorders>
              <w:top w:color="000000" w:space="0" w:sz="0" w:val="nil"/>
            </w:tcBorders>
          </w:tcPr>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MVP must be available within 3 months</w:t>
            </w:r>
          </w:p>
        </w:tc>
        <w:tc>
          <w:tcPr>
            <w:tcBorders>
              <w:top w:color="000000" w:space="0" w:sz="0" w:val="nil"/>
            </w:tcBorders>
          </w:tcPr>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0" w:val="nil"/>
            </w:tcBorders>
          </w:tcPr>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Delay up to 2 weeks acceptable without sponsor review</w:t>
            </w:r>
          </w:p>
        </w:tc>
      </w:tr>
      <w:tr>
        <w:trPr>
          <w:cantSplit w:val="0"/>
          <w:tblHeader w:val="0"/>
        </w:trPr>
        <w:tc>
          <w:tcPr/>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w:t>
            </w:r>
          </w:p>
        </w:tc>
        <w:tc>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should remain within approved budget</w:t>
            </w:r>
          </w:p>
        </w:tc>
        <w:tc>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overrun up to 15% accept able without sponsor review</w:t>
            </w:r>
          </w:p>
        </w:tc>
      </w:tr>
      <w:tr>
        <w:trPr>
          <w:cantSplit w:val="0"/>
          <w:tblHeader w:val="0"/>
        </w:trPr>
        <w:tc>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w:t>
            </w:r>
          </w:p>
        </w:tc>
        <w:tc>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includes: 1 PO, 1 part-time Dev Lead, 2 Developers, 1 UI/UX, 1 Tester</w:t>
            </w:r>
          </w:p>
        </w:tc>
        <w:tc>
          <w:tcPr/>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more developer and part-time tester may be added if needed</w:t>
            </w:r>
          </w:p>
        </w:tc>
      </w:tr>
    </w:tbl>
    <w:p w:rsidR="00000000" w:rsidDel="00000000" w:rsidP="00000000" w:rsidRDefault="00000000" w:rsidRPr="00000000" w14:paraId="000000D1">
      <w:pPr>
        <w:pStyle w:val="Heading2"/>
        <w:numPr>
          <w:ilvl w:val="1"/>
          <w:numId w:val="2"/>
        </w:numPr>
        <w:ind w:left="860" w:hanging="576"/>
        <w:rPr/>
      </w:pPr>
      <w:bookmarkStart w:colFirst="0" w:colLast="0" w:name="_fv2ftshhm5mk" w:id="16"/>
      <w:bookmarkEnd w:id="16"/>
      <w:r w:rsidDel="00000000" w:rsidR="00000000" w:rsidRPr="00000000">
        <w:rPr>
          <w:rtl w:val="0"/>
        </w:rPr>
        <w:t xml:space="preserve">Deployment Considerations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platform must be hosted on a reliable server with CDN support for fast image delivery.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Responsive design must be ensured for both desktop and mobile devices in the initial version.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 instructional videos (2–5 minutes) should be created to onboard users.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 applications (iOS and Android) are planned for future phases depending on available resources.</w:t>
      </w:r>
    </w:p>
    <w:p w:rsidR="00000000" w:rsidDel="00000000" w:rsidP="00000000" w:rsidRDefault="00000000" w:rsidRPr="00000000" w14:paraId="000000D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Gungsuh"/>
  <w:font w:name="Arial Unicode MS"/>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Cafeteria Ordering System</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432" w:hanging="432"/>
      </w:pPr>
      <w:rPr/>
    </w:lvl>
    <w:lvl w:ilvl="1">
      <w:start w:val="3"/>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3"/>
      <w:numFmt w:val="decimal"/>
      <w:lvlText w:val="%1."/>
      <w:lvlJc w:val="left"/>
      <w:pPr>
        <w:ind w:left="432" w:hanging="432"/>
      </w:pPr>
      <w:rPr/>
    </w:lvl>
    <w:lvl w:ilvl="1">
      <w:start w:val="1"/>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32" w:hanging="432"/>
    </w:pPr>
    <w:rPr>
      <w:b w:val="1"/>
      <w:sz w:val="36"/>
      <w:szCs w:val="36"/>
    </w:rPr>
  </w:style>
  <w:style w:type="paragraph" w:styleId="Heading2">
    <w:name w:val="heading 2"/>
    <w:basedOn w:val="Normal"/>
    <w:next w:val="Normal"/>
    <w:pPr>
      <w:keepNext w:val="1"/>
      <w:spacing w:after="240" w:before="360" w:lineRule="auto"/>
      <w:ind w:left="860"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