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(PICP=72.8% (averaged across all horizon–product pairs), PINAW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 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w:t>
      </w:r>
      <w:r>
        <w:t xml:space="preserve">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Normalized Average Width (PINAW) relative to the nominal 80% confidence level. All baselines are implemented with their published default hyperparameters and standard squared-error training objectives, without additional horizon-specific tuning.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well-calibrated probabilistic forecasts across all horizons.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which simultaneously evaluates sharpness and calibration without requiring exact nominal coverage.</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PINAW of 9.8 price units (range 4.4–22.8, reflecting broader uncertainty at longer horizons).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Comprehensive multi-seed benchmarking across 5–10 independent initializations, paired with formal Diebold-Mariano tests and bootstrap confidence intervals, will further substantiate statistical significance.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