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conditional prediction intervals (PICP=72.8% (averaged across all horizon–product pairs), PINAW in the range 4.4–22.8 (price units));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 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w:t>
      </w:r>
      <w:r>
        <w:t xml:space="preserve">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147 for H7, 100 for H1 and H5, and 99 for H3.</w:t>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 xml:space="preserve">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DAℎ = (100/M)·∑ᵗ₌₁ᴹ 1[sgn(P̂ₜ₊ℎ − Pₜ) = sgn(Pₜ₊ℎ − Pₜ)]×100%, where M = T − h + 1, Pₜ is the known spot price at forecast origin t, P̂ₜ₊ℎ is the predicted price from the median quantile return (q̂₀.₅) via (2), and 1(·) is the indicator function equal to 1 when predicted and realized price change signs agree. Probabilistic interval forecasts (q ∈ {0.1, 0.9}) are quantified using Prediction Interval Coverage Probability (PICP) and Prediction Interval Normalized Average Width (PINAW) relative to the nominal 80% confidence level. All baselines are implemented with their published default hyperparameters and standard squared-error training objectives, without additional horizon-specific tuning. Each baseline receives an identical 15-dimensional input feature vector (8 inter-product Platts price series: MG97, MG95, MG92, DO 0.001%, DO 0.05%, FO 180, NAPHTHA, KERO; plus 5 crack-spread ratio features: Ratio_95_WTI, Ratio_92_WTI, Ratio_DO001_WTI, Ratio_DO05_WTI, Ratio_DO_Spread; plus WTI and Brent benchmark prices),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+292.0%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t xml:space="preserve"> To establish a lower bound for model comparison, Table III and Table IV also include a Naïve Persistence (No-Change) baseline, which predicts the most recently observed price at each forecast origin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m:t>
            </m:r>
          </m:sub>
        </m:sSub>
      </m:oMath>
      <w:r>
        <w:t xml:space="preserve"> =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well-calibrated probabilistic forecasts across all horizons.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r>
        <w:t xml:space="preserve">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which simultaneously evaluates sharpness and calibration without requiring exact nominal coverage.</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PICP=72.8% on average across all seven horizon–product combinations (range 56.5%–92.8%), with mean PINAW of 9.8 price units (range 4.4–22.8, reflecting broader uncertainty at longer horizons). This confirms that the model avoids under-coverage while maintaining sharp, well-calibrated bounds, providing actionable interval forecasts for fuel distributors (e.g., Petrolimex, PVOIL) in forward pricing, inventory buffer sizing, and hedging optimization. Fig. 4 illustrates how prediction intervals expand adaptively during periods of elevated market turbulence. Ablation results in Table V indicate that replacing Wavelet-KAN with a standard MLP yields the largest performance drop, while a uniform routing baseline also inflates MAE, validating the necessity of heterogeneous inductive biases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findings indicate that the router changes its routing regime rather than simply averaging expert outputs.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calibrated uncertainty quantification,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Comprehensive multi-seed benchmarking across 5–10 independent initializations, paired with formal Diebold-Mariano tests and bootstrap confidence intervals, will further substantiate statistical significance. (3) Deep Tail Risk vs. Operational Coverage: The evaluated quantiles (q ∈ {0.1, 0.5, 0.9}) provide well-calibrated 80% prediction intervals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