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w:t>
      </w:r>
      <w:r>
        <w:br/>
      </w:r>
      <w:r>
        <w:t xml:space="preserve">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r>
        <w:t xml:space="preserve">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Normalized Average Width (PINAW) relative to the nominal 80% confidence level. All baselines are implemented with their published default hyperparameters and standard squared-error training objectives, without additional horizon-specific tuning.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which simultaneously evaluates sharpness and calibration without requiring exact nominal coverage.</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PINAW of 9.8 price units (range 4.4–22.8, reflecting broader uncertainty at longer horizons).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