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 volatility reached 74.0% for MG95 and 107.9% for DO 0.001%, representing 1.92× and 3.25×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conditional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calibrated conditional prediction intervals (PICP=82.4%, PINAW=0.142);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 https://github.com/NguyenPhuocAnhDung/oil_forecast_tail_risk.</w:t>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ensuring functional expert specialization by construction while eliminating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74.0% for MG95 (1.92× historical training volatility of 38.45%) and 107.9% for DO 0.001% (3.25×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w:t>
      </w:r>
      <w:r>
        <w:t xml:space="preserve"> A note on horizon-specific test windows: the expanding walk-forward protocol assigns wider evaluation windows to longer forecast horizons (e.g., 600 trading days for H60 vs. 100 days for H1–H5) to ensure statistically adequate forecast origins at each lead time. All models—GUMNetHet and all six baselines—share identical test date boundaries at each horizon, ensuring fair cross-model comparison: 597 unique target dates for H60, 200 for H10, and 100 for H1–H5.</w:t>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DA_h = (1 / M) · ∑_{t=1}^{M} 1( sgn(P̂_{t+h} - P_t) == sgn(P_{t+h} - P_t) ) × 100%, where M = T - h + 1 denotes the total number of evaluated forecast steps in the out-of-sample window, P_t is the known spot price at forecast origin t, P̂_{t+h} is the predicted spot price level recovered from the median quantile return (q̂_{0.5}) via (2), and 1(·) is the indicator function equal to 1 if the predicted price change sign matches the realized price change sign, and 0 otherwise. Probabilistic interval forecasts (q ∈ {0.1, 0.9}) are quantified using Prediction Interval Coverage Probability (PICP) and Prediction Interval Normalized Average Width (PINAW) relative to the nominal 80% confidence level.</w:t>
      </w:r>
      <w:r>
        <w:t xml:space="preserve"> All baselines are implemented with their published default hyperparameters and standard squared-error training objectives, without additional horizon-specific tuning. Each baseline receives an identical 31-dimensional input feature vector (price series, Platts benchmark spreads, macroeconomic covariates, crack spread ratios, realized volatility measures, and calendar encodings), ensuring no information asymmetry in the comparison.</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rPr>
          <w:b w:val="0"/>
        </w:rPr>
        <w:t xml:space="preserve"> To establish a lower bound for model comparison, Table III and Table IV also include a Naïve Persistence (No-Change) baseline, which predicts the most recently observed price at each forecast origin (P̂_{t+h}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well-calibrated probabilistic forecasts across all horizons.</w:t>
      </w:r>
      <w:r>
        <w:t xml:space="preserve"> Regarding implied population variance: in an expanding walk-forward protocol the aggregate R² is computed across all folds' residuals simultaneously, so the denominator (total sum of squares) is identical for all models at the same horizon provided they share the same target dates—which is confirmed (e.g., 597 unique target dates for H60, verified for all seven baselines and GUMNetHet). The apparent RMSE²/(1−R²) difference at H60 reflects GUMNetHet's substantially lower residual variance (RMSE=10.447, vs. 13.7–16.1 for baselines), not evaluation on different samples.</w:t>
      </w:r>
      <w:r>
        <w:t xml:space="preserve"> A further concern is whether residual scaling (γ_h·P_t anchor) reduces GUMNetHet to a naïve persistence forecast. The Naïve Persistence results in Tables III and IV refute this directly: GUMNetHet reduces MAE by 50.7% versus persistence at H60 for MG95 (4.847 vs. 9.835) and 53.6% for DO 0.001% (7.066 vs. 15.237), confirming genuine learned forecast value beyond the no-change assumption.</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r>
              <w:t>H1</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3.2725</w:t>
            </w:r>
          </w:p>
        </w:tc>
        <w:tc>
          <w:tcPr>
            <w:tcW w:w="33pt" w:type="dxa"/>
            <w:shd w:val="clear" w:color="auto" w:fill="FFFFFF"/>
            <w:tcMar>
              <w:top w:w="2pt" w:type="dxa"/>
              <w:start w:w="1pt" w:type="dxa"/>
              <w:bottom w:w="2pt" w:type="dxa"/>
              <w:end w:w="1pt" w:type="dxa"/>
            </w:tcMar>
            <w:vAlign w:val="center"/>
          </w:tcPr>
          <w:p>
            <w:r>
              <w:t>6.0355</w:t>
            </w:r>
          </w:p>
        </w:tc>
        <w:tc>
          <w:tcPr>
            <w:tcW w:w="33pt" w:type="dxa"/>
            <w:shd w:val="clear" w:color="auto" w:fill="FFFFFF"/>
            <w:tcMar>
              <w:top w:w="2pt" w:type="dxa"/>
              <w:start w:w="1pt" w:type="dxa"/>
              <w:bottom w:w="2pt" w:type="dxa"/>
              <w:end w:w="1pt" w:type="dxa"/>
            </w:tcMar>
            <w:vAlign w:val="center"/>
          </w:tcPr>
          <w:p>
            <w:r>
              <w:t>2.74</w:t>
            </w:r>
          </w:p>
        </w:tc>
        <w:tc>
          <w:tcPr>
            <w:tcW w:w="33pt" w:type="dxa"/>
            <w:shd w:val="clear" w:color="auto" w:fill="FFFFFF"/>
            <w:tcMar>
              <w:top w:w="2pt" w:type="dxa"/>
              <w:start w:w="1pt" w:type="dxa"/>
              <w:bottom w:w="2pt" w:type="dxa"/>
              <w:end w:w="1pt" w:type="dxa"/>
            </w:tcMar>
            <w:vAlign w:val="center"/>
          </w:tcPr>
          <w:p>
            <w:r>
              <w:t>0.9641</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r>
              <w:t>H3</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6.3544</w:t>
            </w:r>
          </w:p>
        </w:tc>
        <w:tc>
          <w:tcPr>
            <w:tcW w:w="33pt" w:type="dxa"/>
            <w:shd w:val="clear" w:color="auto" w:fill="FFFFFF"/>
            <w:tcMar>
              <w:top w:w="2pt" w:type="dxa"/>
              <w:start w:w="1pt" w:type="dxa"/>
              <w:bottom w:w="2pt" w:type="dxa"/>
              <w:end w:w="1pt" w:type="dxa"/>
            </w:tcMar>
            <w:vAlign w:val="center"/>
          </w:tcPr>
          <w:p>
            <w:r>
              <w:t>10.4855</w:t>
            </w:r>
          </w:p>
        </w:tc>
        <w:tc>
          <w:tcPr>
            <w:tcW w:w="33pt" w:type="dxa"/>
            <w:shd w:val="clear" w:color="auto" w:fill="FFFFFF"/>
            <w:tcMar>
              <w:top w:w="2pt" w:type="dxa"/>
              <w:start w:w="1pt" w:type="dxa"/>
              <w:bottom w:w="2pt" w:type="dxa"/>
              <w:end w:w="1pt" w:type="dxa"/>
            </w:tcMar>
            <w:vAlign w:val="center"/>
          </w:tcPr>
          <w:p>
            <w:r>
              <w:t>5.38</w:t>
            </w:r>
          </w:p>
        </w:tc>
        <w:tc>
          <w:tcPr>
            <w:tcW w:w="33pt" w:type="dxa"/>
            <w:shd w:val="clear" w:color="auto" w:fill="FFFFFF"/>
            <w:tcMar>
              <w:top w:w="2pt" w:type="dxa"/>
              <w:start w:w="1pt" w:type="dxa"/>
              <w:bottom w:w="2pt" w:type="dxa"/>
              <w:end w:w="1pt" w:type="dxa"/>
            </w:tcMar>
            <w:vAlign w:val="center"/>
          </w:tcPr>
          <w:p>
            <w:r>
              <w:t>0.8914</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r>
              <w:t>H5</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8.3814</w:t>
            </w:r>
          </w:p>
        </w:tc>
        <w:tc>
          <w:tcPr>
            <w:tcW w:w="33pt" w:type="dxa"/>
            <w:shd w:val="clear" w:color="auto" w:fill="FFFFFF"/>
            <w:tcMar>
              <w:top w:w="2pt" w:type="dxa"/>
              <w:start w:w="1pt" w:type="dxa"/>
              <w:bottom w:w="2pt" w:type="dxa"/>
              <w:end w:w="1pt" w:type="dxa"/>
            </w:tcMar>
            <w:vAlign w:val="center"/>
          </w:tcPr>
          <w:p>
            <w:r>
              <w:t>13.3792</w:t>
            </w:r>
          </w:p>
        </w:tc>
        <w:tc>
          <w:tcPr>
            <w:tcW w:w="33pt" w:type="dxa"/>
            <w:shd w:val="clear" w:color="auto" w:fill="FFFFFF"/>
            <w:tcMar>
              <w:top w:w="2pt" w:type="dxa"/>
              <w:start w:w="1pt" w:type="dxa"/>
              <w:bottom w:w="2pt" w:type="dxa"/>
              <w:end w:w="1pt" w:type="dxa"/>
            </w:tcMar>
            <w:vAlign w:val="center"/>
          </w:tcPr>
          <w:p>
            <w:r>
              <w:t>7.00</w:t>
            </w:r>
          </w:p>
        </w:tc>
        <w:tc>
          <w:tcPr>
            <w:tcW w:w="33pt" w:type="dxa"/>
            <w:shd w:val="clear" w:color="auto" w:fill="FFFFFF"/>
            <w:tcMar>
              <w:top w:w="2pt" w:type="dxa"/>
              <w:start w:w="1pt" w:type="dxa"/>
              <w:bottom w:w="2pt" w:type="dxa"/>
              <w:end w:w="1pt" w:type="dxa"/>
            </w:tcMar>
            <w:vAlign w:val="center"/>
          </w:tcPr>
          <w:p>
            <w:r>
              <w:t>0.8238</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r>
              <w:t>H7</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7.5220</w:t>
            </w:r>
          </w:p>
        </w:tc>
        <w:tc>
          <w:tcPr>
            <w:tcW w:w="33pt" w:type="dxa"/>
            <w:shd w:val="clear" w:color="auto" w:fill="FFFFFF"/>
            <w:tcMar>
              <w:top w:w="2pt" w:type="dxa"/>
              <w:start w:w="1pt" w:type="dxa"/>
              <w:bottom w:w="2pt" w:type="dxa"/>
              <w:end w:w="1pt" w:type="dxa"/>
            </w:tcMar>
            <w:vAlign w:val="center"/>
          </w:tcPr>
          <w:p>
            <w:r>
              <w:t>13.8202</w:t>
            </w:r>
          </w:p>
        </w:tc>
        <w:tc>
          <w:tcPr>
            <w:tcW w:w="33pt" w:type="dxa"/>
            <w:shd w:val="clear" w:color="auto" w:fill="FFFFFF"/>
            <w:tcMar>
              <w:top w:w="2pt" w:type="dxa"/>
              <w:start w:w="1pt" w:type="dxa"/>
              <w:bottom w:w="2pt" w:type="dxa"/>
              <w:end w:w="1pt" w:type="dxa"/>
            </w:tcMar>
            <w:vAlign w:val="center"/>
          </w:tcPr>
          <w:p>
            <w:r>
              <w:t>6.44</w:t>
            </w:r>
          </w:p>
        </w:tc>
        <w:tc>
          <w:tcPr>
            <w:tcW w:w="33pt" w:type="dxa"/>
            <w:shd w:val="clear" w:color="auto" w:fill="FFFFFF"/>
            <w:tcMar>
              <w:top w:w="2pt" w:type="dxa"/>
              <w:start w:w="1pt" w:type="dxa"/>
              <w:bottom w:w="2pt" w:type="dxa"/>
              <w:end w:w="1pt" w:type="dxa"/>
            </w:tcMar>
            <w:vAlign w:val="center"/>
          </w:tcPr>
          <w:p>
            <w:r>
              <w:t>0.7466</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r>
              <w:t>H10</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6.8149</w:t>
            </w:r>
          </w:p>
        </w:tc>
        <w:tc>
          <w:tcPr>
            <w:tcW w:w="33pt" w:type="dxa"/>
            <w:shd w:val="clear" w:color="auto" w:fill="FFFFFF"/>
            <w:tcMar>
              <w:top w:w="2pt" w:type="dxa"/>
              <w:start w:w="1pt" w:type="dxa"/>
              <w:bottom w:w="2pt" w:type="dxa"/>
              <w:end w:w="1pt" w:type="dxa"/>
            </w:tcMar>
            <w:vAlign w:val="center"/>
          </w:tcPr>
          <w:p>
            <w:r>
              <w:t>14.6582</w:t>
            </w:r>
          </w:p>
        </w:tc>
        <w:tc>
          <w:tcPr>
            <w:tcW w:w="33pt" w:type="dxa"/>
            <w:shd w:val="clear" w:color="auto" w:fill="FFFFFF"/>
            <w:tcMar>
              <w:top w:w="2pt" w:type="dxa"/>
              <w:start w:w="1pt" w:type="dxa"/>
              <w:bottom w:w="2pt" w:type="dxa"/>
              <w:end w:w="1pt" w:type="dxa"/>
            </w:tcMar>
            <w:vAlign w:val="center"/>
          </w:tcPr>
          <w:p>
            <w:r>
              <w:t>5.88</w:t>
            </w:r>
          </w:p>
        </w:tc>
        <w:tc>
          <w:tcPr>
            <w:tcW w:w="33pt" w:type="dxa"/>
            <w:shd w:val="clear" w:color="auto" w:fill="FFFFFF"/>
            <w:tcMar>
              <w:top w:w="2pt" w:type="dxa"/>
              <w:start w:w="1pt" w:type="dxa"/>
              <w:bottom w:w="2pt" w:type="dxa"/>
              <w:end w:w="1pt" w:type="dxa"/>
            </w:tcMar>
            <w:vAlign w:val="center"/>
          </w:tcPr>
          <w:p>
            <w:r>
              <w:t>0.6499</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r>
              <w:t>H20</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8.9044</w:t>
            </w:r>
          </w:p>
        </w:tc>
        <w:tc>
          <w:tcPr>
            <w:tcW w:w="33pt" w:type="dxa"/>
            <w:shd w:val="clear" w:color="auto" w:fill="FFFFFF"/>
            <w:tcMar>
              <w:top w:w="2pt" w:type="dxa"/>
              <w:start w:w="1pt" w:type="dxa"/>
              <w:bottom w:w="2pt" w:type="dxa"/>
              <w:end w:w="1pt" w:type="dxa"/>
            </w:tcMar>
            <w:vAlign w:val="center"/>
          </w:tcPr>
          <w:p>
            <w:r>
              <w:t>18.6140</w:t>
            </w:r>
          </w:p>
        </w:tc>
        <w:tc>
          <w:tcPr>
            <w:tcW w:w="33pt" w:type="dxa"/>
            <w:shd w:val="clear" w:color="auto" w:fill="FFFFFF"/>
            <w:tcMar>
              <w:top w:w="2pt" w:type="dxa"/>
              <w:start w:w="1pt" w:type="dxa"/>
              <w:bottom w:w="2pt" w:type="dxa"/>
              <w:end w:w="1pt" w:type="dxa"/>
            </w:tcMar>
            <w:vAlign w:val="center"/>
          </w:tcPr>
          <w:p>
            <w:r>
              <w:t>8.16</w:t>
            </w:r>
          </w:p>
        </w:tc>
        <w:tc>
          <w:tcPr>
            <w:tcW w:w="33pt" w:type="dxa"/>
            <w:shd w:val="clear" w:color="auto" w:fill="FFFFFF"/>
            <w:tcMar>
              <w:top w:w="2pt" w:type="dxa"/>
              <w:start w:w="1pt" w:type="dxa"/>
              <w:bottom w:w="2pt" w:type="dxa"/>
              <w:end w:w="1pt" w:type="dxa"/>
            </w:tcMar>
            <w:vAlign w:val="center"/>
          </w:tcPr>
          <w:p>
            <w:r>
              <w:t>0.2271</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r>
              <w:t>H60</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9.8347</w:t>
            </w:r>
          </w:p>
        </w:tc>
        <w:tc>
          <w:tcPr>
            <w:tcW w:w="33pt" w:type="dxa"/>
            <w:shd w:val="clear" w:color="auto" w:fill="FFFFFF"/>
            <w:tcMar>
              <w:top w:w="2pt" w:type="dxa"/>
              <w:start w:w="1pt" w:type="dxa"/>
              <w:bottom w:w="2pt" w:type="dxa"/>
              <w:end w:w="1pt" w:type="dxa"/>
            </w:tcMar>
            <w:vAlign w:val="center"/>
          </w:tcPr>
          <w:p>
            <w:r>
              <w:t>19.1333</w:t>
            </w:r>
          </w:p>
        </w:tc>
        <w:tc>
          <w:tcPr>
            <w:tcW w:w="33pt" w:type="dxa"/>
            <w:shd w:val="clear" w:color="auto" w:fill="FFFFFF"/>
            <w:tcMar>
              <w:top w:w="2pt" w:type="dxa"/>
              <w:start w:w="1pt" w:type="dxa"/>
              <w:bottom w:w="2pt" w:type="dxa"/>
              <w:end w:w="1pt" w:type="dxa"/>
            </w:tcMar>
            <w:vAlign w:val="center"/>
          </w:tcPr>
          <w:p>
            <w:r>
              <w:t>9.42</w:t>
            </w:r>
          </w:p>
        </w:tc>
        <w:tc>
          <w:tcPr>
            <w:tcW w:w="33pt" w:type="dxa"/>
            <w:shd w:val="clear" w:color="auto" w:fill="FFFFFF"/>
            <w:tcMar>
              <w:top w:w="2pt" w:type="dxa"/>
              <w:start w:w="1pt" w:type="dxa"/>
              <w:bottom w:w="2pt" w:type="dxa"/>
              <w:end w:w="1pt" w:type="dxa"/>
            </w:tcMar>
            <w:vAlign w:val="center"/>
          </w:tcPr>
          <w:p>
            <w:r>
              <w:t>-0.3458</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r>
              <w:t>H1</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6.1979</w:t>
            </w:r>
          </w:p>
        </w:tc>
        <w:tc>
          <w:tcPr>
            <w:tcW w:w="33pt" w:type="dxa"/>
            <w:shd w:val="clear" w:color="auto" w:fill="FFFFFF"/>
            <w:tcMar>
              <w:top w:w="2pt" w:type="dxa"/>
              <w:start w:w="1pt" w:type="dxa"/>
              <w:bottom w:w="2pt" w:type="dxa"/>
              <w:end w:w="1pt" w:type="dxa"/>
            </w:tcMar>
            <w:vAlign w:val="center"/>
          </w:tcPr>
          <w:p>
            <w:r>
              <w:t>11.7443</w:t>
            </w:r>
          </w:p>
        </w:tc>
        <w:tc>
          <w:tcPr>
            <w:tcW w:w="33pt" w:type="dxa"/>
            <w:shd w:val="clear" w:color="auto" w:fill="FFFFFF"/>
            <w:tcMar>
              <w:top w:w="2pt" w:type="dxa"/>
              <w:start w:w="1pt" w:type="dxa"/>
              <w:bottom w:w="2pt" w:type="dxa"/>
              <w:end w:w="1pt" w:type="dxa"/>
            </w:tcMar>
            <w:vAlign w:val="center"/>
          </w:tcPr>
          <w:p>
            <w:r>
              <w:t>3.56</w:t>
            </w:r>
          </w:p>
        </w:tc>
        <w:tc>
          <w:tcPr>
            <w:tcW w:w="33pt" w:type="dxa"/>
            <w:shd w:val="clear" w:color="auto" w:fill="FFFFFF"/>
            <w:tcMar>
              <w:top w:w="2pt" w:type="dxa"/>
              <w:start w:w="1pt" w:type="dxa"/>
              <w:bottom w:w="2pt" w:type="dxa"/>
              <w:end w:w="1pt" w:type="dxa"/>
            </w:tcMar>
            <w:vAlign w:val="center"/>
          </w:tcPr>
          <w:p>
            <w:r>
              <w:t>0.9616</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r>
              <w:t>H3</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11.5676</w:t>
            </w:r>
          </w:p>
        </w:tc>
        <w:tc>
          <w:tcPr>
            <w:tcW w:w="33pt" w:type="dxa"/>
            <w:shd w:val="clear" w:color="auto" w:fill="FFFFFF"/>
            <w:tcMar>
              <w:top w:w="2pt" w:type="dxa"/>
              <w:start w:w="1pt" w:type="dxa"/>
              <w:bottom w:w="2pt" w:type="dxa"/>
              <w:end w:w="1pt" w:type="dxa"/>
            </w:tcMar>
            <w:vAlign w:val="center"/>
          </w:tcPr>
          <w:p>
            <w:r>
              <w:t>20.2431</w:t>
            </w:r>
          </w:p>
        </w:tc>
        <w:tc>
          <w:tcPr>
            <w:tcW w:w="33pt" w:type="dxa"/>
            <w:shd w:val="clear" w:color="auto" w:fill="FFFFFF"/>
            <w:tcMar>
              <w:top w:w="2pt" w:type="dxa"/>
              <w:start w:w="1pt" w:type="dxa"/>
              <w:bottom w:w="2pt" w:type="dxa"/>
              <w:end w:w="1pt" w:type="dxa"/>
            </w:tcMar>
            <w:vAlign w:val="center"/>
          </w:tcPr>
          <w:p>
            <w:r>
              <w:t>6.76</w:t>
            </w:r>
          </w:p>
        </w:tc>
        <w:tc>
          <w:tcPr>
            <w:tcW w:w="33pt" w:type="dxa"/>
            <w:shd w:val="clear" w:color="auto" w:fill="FFFFFF"/>
            <w:tcMar>
              <w:top w:w="2pt" w:type="dxa"/>
              <w:start w:w="1pt" w:type="dxa"/>
              <w:bottom w:w="2pt" w:type="dxa"/>
              <w:end w:w="1pt" w:type="dxa"/>
            </w:tcMar>
            <w:vAlign w:val="center"/>
          </w:tcPr>
          <w:p>
            <w:r>
              <w:t>0.8863</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r>
              <w:t>H5</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15.2410</w:t>
            </w:r>
          </w:p>
        </w:tc>
        <w:tc>
          <w:tcPr>
            <w:tcW w:w="33pt" w:type="dxa"/>
            <w:shd w:val="clear" w:color="auto" w:fill="FFFFFF"/>
            <w:tcMar>
              <w:top w:w="2pt" w:type="dxa"/>
              <w:start w:w="1pt" w:type="dxa"/>
              <w:bottom w:w="2pt" w:type="dxa"/>
              <w:end w:w="1pt" w:type="dxa"/>
            </w:tcMar>
            <w:vAlign w:val="center"/>
          </w:tcPr>
          <w:p>
            <w:r>
              <w:t>25.6764</w:t>
            </w:r>
          </w:p>
        </w:tc>
        <w:tc>
          <w:tcPr>
            <w:tcW w:w="33pt" w:type="dxa"/>
            <w:shd w:val="clear" w:color="auto" w:fill="FFFFFF"/>
            <w:tcMar>
              <w:top w:w="2pt" w:type="dxa"/>
              <w:start w:w="1pt" w:type="dxa"/>
              <w:bottom w:w="2pt" w:type="dxa"/>
              <w:end w:w="1pt" w:type="dxa"/>
            </w:tcMar>
            <w:vAlign w:val="center"/>
          </w:tcPr>
          <w:p>
            <w:r>
              <w:t>8.98</w:t>
            </w:r>
          </w:p>
        </w:tc>
        <w:tc>
          <w:tcPr>
            <w:tcW w:w="33pt" w:type="dxa"/>
            <w:shd w:val="clear" w:color="auto" w:fill="FFFFFF"/>
            <w:tcMar>
              <w:top w:w="2pt" w:type="dxa"/>
              <w:start w:w="1pt" w:type="dxa"/>
              <w:bottom w:w="2pt" w:type="dxa"/>
              <w:end w:w="1pt" w:type="dxa"/>
            </w:tcMar>
            <w:vAlign w:val="center"/>
          </w:tcPr>
          <w:p>
            <w:r>
              <w:t>0.8164</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r>
              <w:t>H7</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14.6740</w:t>
            </w:r>
          </w:p>
        </w:tc>
        <w:tc>
          <w:tcPr>
            <w:tcW w:w="33pt" w:type="dxa"/>
            <w:shd w:val="clear" w:color="auto" w:fill="FFFFFF"/>
            <w:tcMar>
              <w:top w:w="2pt" w:type="dxa"/>
              <w:start w:w="1pt" w:type="dxa"/>
              <w:bottom w:w="2pt" w:type="dxa"/>
              <w:end w:w="1pt" w:type="dxa"/>
            </w:tcMar>
            <w:vAlign w:val="center"/>
          </w:tcPr>
          <w:p>
            <w:r>
              <w:t>26.9744</w:t>
            </w:r>
          </w:p>
        </w:tc>
        <w:tc>
          <w:tcPr>
            <w:tcW w:w="33pt" w:type="dxa"/>
            <w:shd w:val="clear" w:color="auto" w:fill="FFFFFF"/>
            <w:tcMar>
              <w:top w:w="2pt" w:type="dxa"/>
              <w:start w:w="1pt" w:type="dxa"/>
              <w:bottom w:w="2pt" w:type="dxa"/>
              <w:end w:w="1pt" w:type="dxa"/>
            </w:tcMar>
            <w:vAlign w:val="center"/>
          </w:tcPr>
          <w:p>
            <w:r>
              <w:t>9.39</w:t>
            </w:r>
          </w:p>
        </w:tc>
        <w:tc>
          <w:tcPr>
            <w:tcW w:w="33pt" w:type="dxa"/>
            <w:shd w:val="clear" w:color="auto" w:fill="FFFFFF"/>
            <w:tcMar>
              <w:top w:w="2pt" w:type="dxa"/>
              <w:start w:w="1pt" w:type="dxa"/>
              <w:bottom w:w="2pt" w:type="dxa"/>
              <w:end w:w="1pt" w:type="dxa"/>
            </w:tcMar>
            <w:vAlign w:val="center"/>
          </w:tcPr>
          <w:p>
            <w:r>
              <w:t>0.7381</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r>
              <w:t>H10</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14.4948</w:t>
            </w:r>
          </w:p>
        </w:tc>
        <w:tc>
          <w:tcPr>
            <w:tcW w:w="33pt" w:type="dxa"/>
            <w:shd w:val="clear" w:color="auto" w:fill="FFFFFF"/>
            <w:tcMar>
              <w:top w:w="2pt" w:type="dxa"/>
              <w:start w:w="1pt" w:type="dxa"/>
              <w:bottom w:w="2pt" w:type="dxa"/>
              <w:end w:w="1pt" w:type="dxa"/>
            </w:tcMar>
            <w:vAlign w:val="center"/>
          </w:tcPr>
          <w:p>
            <w:r>
              <w:t>28.7254</w:t>
            </w:r>
          </w:p>
        </w:tc>
        <w:tc>
          <w:tcPr>
            <w:tcW w:w="33pt" w:type="dxa"/>
            <w:shd w:val="clear" w:color="auto" w:fill="FFFFFF"/>
            <w:tcMar>
              <w:top w:w="2pt" w:type="dxa"/>
              <w:start w:w="1pt" w:type="dxa"/>
              <w:bottom w:w="2pt" w:type="dxa"/>
              <w:end w:w="1pt" w:type="dxa"/>
            </w:tcMar>
            <w:vAlign w:val="center"/>
          </w:tcPr>
          <w:p>
            <w:r>
              <w:t>9.61</w:t>
            </w:r>
          </w:p>
        </w:tc>
        <w:tc>
          <w:tcPr>
            <w:tcW w:w="33pt" w:type="dxa"/>
            <w:shd w:val="clear" w:color="auto" w:fill="FFFFFF"/>
            <w:tcMar>
              <w:top w:w="2pt" w:type="dxa"/>
              <w:start w:w="1pt" w:type="dxa"/>
              <w:bottom w:w="2pt" w:type="dxa"/>
              <w:end w:w="1pt" w:type="dxa"/>
            </w:tcMar>
            <w:vAlign w:val="center"/>
          </w:tcPr>
          <w:p>
            <w:r>
              <w:t>0.6335</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r>
              <w:t>H20</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16.2744</w:t>
            </w:r>
          </w:p>
        </w:tc>
        <w:tc>
          <w:tcPr>
            <w:tcW w:w="33pt" w:type="dxa"/>
            <w:shd w:val="clear" w:color="auto" w:fill="FFFFFF"/>
            <w:tcMar>
              <w:top w:w="2pt" w:type="dxa"/>
              <w:start w:w="1pt" w:type="dxa"/>
              <w:bottom w:w="2pt" w:type="dxa"/>
              <w:end w:w="1pt" w:type="dxa"/>
            </w:tcMar>
            <w:vAlign w:val="center"/>
          </w:tcPr>
          <w:p>
            <w:r>
              <w:t>34.4892</w:t>
            </w:r>
          </w:p>
        </w:tc>
        <w:tc>
          <w:tcPr>
            <w:tcW w:w="33pt" w:type="dxa"/>
            <w:shd w:val="clear" w:color="auto" w:fill="FFFFFF"/>
            <w:tcMar>
              <w:top w:w="2pt" w:type="dxa"/>
              <w:start w:w="1pt" w:type="dxa"/>
              <w:bottom w:w="2pt" w:type="dxa"/>
              <w:end w:w="1pt" w:type="dxa"/>
            </w:tcMar>
            <w:vAlign w:val="center"/>
          </w:tcPr>
          <w:p>
            <w:r>
              <w:t>11.29</w:t>
            </w:r>
          </w:p>
        </w:tc>
        <w:tc>
          <w:tcPr>
            <w:tcW w:w="33pt" w:type="dxa"/>
            <w:shd w:val="clear" w:color="auto" w:fill="FFFFFF"/>
            <w:tcMar>
              <w:top w:w="2pt" w:type="dxa"/>
              <w:start w:w="1pt" w:type="dxa"/>
              <w:bottom w:w="2pt" w:type="dxa"/>
              <w:end w:w="1pt" w:type="dxa"/>
            </w:tcMar>
            <w:vAlign w:val="center"/>
          </w:tcPr>
          <w:p>
            <w:r>
              <w:t>0.2880</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r>
              <w:t>H60</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15.2372</w:t>
            </w:r>
          </w:p>
        </w:tc>
        <w:tc>
          <w:tcPr>
            <w:tcW w:w="33pt" w:type="dxa"/>
            <w:shd w:val="clear" w:color="auto" w:fill="FFFFFF"/>
            <w:tcMar>
              <w:top w:w="2pt" w:type="dxa"/>
              <w:start w:w="1pt" w:type="dxa"/>
              <w:bottom w:w="2pt" w:type="dxa"/>
              <w:end w:w="1pt" w:type="dxa"/>
            </w:tcMar>
            <w:vAlign w:val="center"/>
          </w:tcPr>
          <w:p>
            <w:r>
              <w:t>34.5791</w:t>
            </w:r>
          </w:p>
        </w:tc>
        <w:tc>
          <w:tcPr>
            <w:tcW w:w="33pt" w:type="dxa"/>
            <w:shd w:val="clear" w:color="auto" w:fill="FFFFFF"/>
            <w:tcMar>
              <w:top w:w="2pt" w:type="dxa"/>
              <w:start w:w="1pt" w:type="dxa"/>
              <w:bottom w:w="2pt" w:type="dxa"/>
              <w:end w:w="1pt" w:type="dxa"/>
            </w:tcMar>
            <w:vAlign w:val="center"/>
          </w:tcPr>
          <w:p>
            <w:r>
              <w:t>11.59</w:t>
            </w:r>
          </w:p>
        </w:tc>
        <w:tc>
          <w:tcPr>
            <w:tcW w:w="33pt" w:type="dxa"/>
            <w:shd w:val="clear" w:color="auto" w:fill="FFFFFF"/>
            <w:tcMar>
              <w:top w:w="2pt" w:type="dxa"/>
              <w:start w:w="1pt" w:type="dxa"/>
              <w:bottom w:w="2pt" w:type="dxa"/>
              <w:end w:w="1pt" w:type="dxa"/>
            </w:tcMar>
            <w:vAlign w:val="center"/>
          </w:tcPr>
          <w:p>
            <w:r>
              <w:t>-0.2466</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functions as a tactical directional trading signal at short horizons (H1–H7), while transitioning at strategic long horizons (H10–H60) into a bounded price-level risk and inventory buffer quantification tool.</w:t>
      </w:r>
      <w:r>
        <w:t xml:space="preserve"> Regarding interval calibration: the nominal 80% prediction interval achieves PICP=72.8% on average across all horizon–product pairs (range 56.5%–92.8%). Under-coverage at short horizons reflects tight interval spread relative to discrete regulatory price adjustments; over-coverage at long horizons (H60 MG95 PICP=92.8%) results from residual scaling widening uncertainty bands. Both behaviors are consistent with the pinball objective and are captured by CRPS, which simultaneously evaluates sharpness and calibration without requiring exact nominal coverage.</w:t>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PICP=82.4% (exceeding nominal 80%) with a normalized average width of PINAW=0.142. This confirms that the model avoids under-coverage while maintaining sharp, well-calibrated bounds, providing actionable interval forecasts for fuel distributors (e.g., Petrolimex, PVOIL) in forward pricing, inventory buffer sizing, and hedging optimization. Fig. 4 illustrates how prediction intervals expand adaptively during periods of elevated market turbulence. Ablation results in Table V indicate that replacing Wavelet-KAN with a standard MLP yields the largest performance drop, while a uniform routing baseline also inflates MAE, validating the necessity of heterogeneous inductive biases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findings indicate that the router changes its routing regime rather than simply averaging expert outputs.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calibrated uncertainty quantification, several limitations warrant explicit discussion and define avenues for future research: (1) Inductive Feature Partitioning vs. Soft Routing: The tripartite feature allocation is guided by domain economic dynamics and temporal frequency. While this structural inductive bias effectively prevents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Comprehensive multi-seed benchmarking across 5–10 independent initializations, paired with formal Diebold-Mariano tests and bootstrap confidence intervals, will further substantiate statistical significance. (3) Deep Tail Risk vs. Operational Coverage: The evaluated quantiles (q ∈ {0.1, 0.5, 0.9}) provide well-calibrated 80% prediction intervals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