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0A15" w:rsidRDefault="00000000">
      <w:pPr>
        <w:pStyle w:val="PaperTitle"/>
      </w:pPr>
      <w:r>
        <w:t>ROBUST PROBABILISTIC ENERGY FORECASTING UNDER GEOPOLITICAL SHOCKS: AN ADAPTIVE MIXTURE OF LOCAL-GLOBAL EXPERTS</w:t>
      </w:r>
    </w:p>
    <w:p w:rsidR="00660A15" w:rsidRDefault="00000000">
      <w:pPr>
        <w:pStyle w:val="Authors"/>
      </w:pPr>
      <w:r>
        <w:rPr>
          <w:b/>
        </w:rPr>
        <w:t>Nguyễn Phước Anh Dũng¹, Bùi Danh Hường¹*, Hoàng Văn Quý²</w:t>
      </w:r>
    </w:p>
    <w:p w:rsidR="00660A15" w:rsidRDefault="00000000">
      <w:pPr>
        <w:pStyle w:val="Affil"/>
      </w:pPr>
      <w:r>
        <w:rPr>
          <w:i/>
        </w:rPr>
        <w:t>¹Khoa Công nghệ Thông tin, Trường Đại học Công nghệ TP.HCM (HUTECH), TP. Hồ Chí Minh, Việt Nam</w:t>
      </w:r>
      <w:r>
        <w:rPr>
          <w:i/>
        </w:rPr>
        <w:br/>
        <w:t>²Khoa Công nghệ Thông tin, Trường Đại học Thủy lợi (TLU), Hà Nội, Việt Nam</w:t>
      </w:r>
      <w:r>
        <w:rPr>
          <w:i/>
        </w:rPr>
        <w:br/>
        <w:t>*Tác giả liên hệ: Bùi Danh Hường (bd.huong@hutech.edu.vn)</w:t>
      </w:r>
    </w:p>
    <w:p w:rsidR="00660A15" w:rsidRDefault="00000000">
      <w:pPr>
        <w:pStyle w:val="Affil"/>
      </w:pPr>
      <w:r>
        <w:t>²Khoa Công nghệ Thông tin, Trường Đại học Thủy lợi (TLU), Hà Nội, Việt Nam</w:t>
      </w:r>
    </w:p>
    <w:p w:rsidR="00660A15" w:rsidRDefault="00000000">
      <w:pPr>
        <w:pStyle w:val="Affil"/>
      </w:pPr>
      <w:r>
        <w:t>*Tác giả liên hệ: bd.huong@hutech.edu.vn</w:t>
      </w:r>
    </w:p>
    <w:p w:rsidR="00660A15" w:rsidRDefault="00000000">
      <w:pPr>
        <w:pStyle w:val="Abstract"/>
        <w:spacing w:after="80" w:line="264" w:lineRule="auto"/>
      </w:pPr>
      <w:r>
        <w:rPr>
          <w:sz w:val="19"/>
        </w:rPr>
        <w:t>Tóm tắt—</w:t>
      </w:r>
      <w:r w:rsidR="00757149" w:rsidRPr="00757149">
        <w:rPr>
          <w:sz w:val="19"/>
        </w:rPr>
        <w:t>Bài báo đề xuất GUMNetHet (Heterogeneous Gated Unified Mixture Network) cho dự báo xác suất đa chu kỳ giá xăng dầu thành phẩm dưới biến động địa chính trị. Mô hình phân vùng đặc trưng thành ba nhóm và xử lý bằng các expert chuyên biệt: CNN-1D đa tỷ lệ cho động lượng giá, GRU-Attention cho trạng thái vĩ mô và Wavelet-KAN cho các quan hệ phi tuyến nhạy cú sốc. Các biểu diễn được kết hợp bởi bộ định tuyến nhận biết horizon và ngữ cảnh thị trường; đầu ra đa phân vị được tối ưu bằng pinball loss và residual scaling. GUMNetHet được đánh giá trên dữ liệu Platts giai đoạn 11/2008–04/2026 theo giao thức expanding walk-forward và so sánh với sáu baseline đại diện. Kết quả cho thấy mô hình đạt MAE thấp nhất trên toàn bộ các horizon H1–H60 cho MG95 và DO 0.001%; tại H60, MAE giảm lần lượt 30,1% và 22,9% so với baseline tốt nhất. Độ chính xác xu hướng đạt mức cao ở H1–H7 nhưng giảm rõ ở H10 và H60, cho thấy sự khác biệt giữa độ chính xác mức giá và dự báo hướng ở horizon dài. Khoảng dự báo 80% đạt PICP=82,4% với PINAW=0,142. Kết quả ablation và phân tích router cho thấy chuyên môn hóa expert và định tuyến thích ứng đóng góp đáng kể vào hiệu năng của mô hình.</w:t>
      </w:r>
    </w:p>
    <w:p w:rsidR="00660A15" w:rsidRDefault="00000000">
      <w:pPr>
        <w:pStyle w:val="Abstract"/>
      </w:pPr>
      <w:r>
        <w:t>Từ khóa—dự báo giá năng lượng; mixture-of-experts; Wavelet-KAN; rủi ro địa chính trị; dự báo đa phân vị; walk-forward validation.</w:t>
      </w:r>
    </w:p>
    <w:p w:rsidR="00660A15" w:rsidRDefault="00000000">
      <w:pPr>
        <w:pStyle w:val="H1x"/>
        <w:keepNext/>
      </w:pPr>
      <w:r>
        <w:t>1. GIỚI THIỆU</w:t>
      </w:r>
    </w:p>
    <w:p w:rsidR="00660A15" w:rsidRDefault="00000000">
      <w:pPr>
        <w:spacing w:after="80" w:line="276" w:lineRule="auto"/>
      </w:pPr>
      <w:r>
        <w:t xml:space="preserve">Thị trường xăng dầu Việt Nam có đặc thù cấu trúc nguồn cung mang tính chiến lược: khoảng 70% tổng sản lượng tiêu thụ nội địa được cung ứng bởi hai nhà máy lọc hóa dầu trong nước (Dung Quất và Nghi Sơn), trong khi 30% nhu cầu còn lại bắt buộc phải nhập khẩu trực tiếp từ các thị trường quốc tế. Trong đó, thị trường Singapore là địa bàn nhập khẩu trọng yếu nhất, với giá giao dịch thành phẩm Mean of Platts Singapore (MOPS)—tiêu biểu là Mogas 95 (MG95) và Gasoil 0.001%S (DO 0.001%)—đóng vai trò là hệ quy chiếu định giá cơ sở cho mọi hợp đồng thương mại, tính toán giá vốn và quản lý chuỗi cung ứng. Tuy nhiên, giá Platts biến động cực kỳ phức tạp do phản ứng đồng thời với các cú sốc cung–cầu toàn cầu, biến động tỷ giá và rủi ro địa chính trị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Các giai đoạn sụp đổ giá dầu 2014–2016, chiến tranh giá OPEC+ năm 2020, xung đột Nga–Ukraine 2022 và căng thẳng Biển Đỏ 2023–2024 cho thấy chuỗi giá thành phẩm thường xuyên xuất hiện bước nhảy phi tuyến, dịch chuyển chế độ và phân cụm biến động mạnh. Do đó, nhu cầu dự báo chính xác giá xăng dầu Platts trong ngắn hạn (H1–H7) và trung hạn (H10–H60) là đòi hỏi cấp thiết phục vụ trực tiếp cho việc ra quyết định kinh doanh, tối ưu hóa kế hoạch mua hàng, quản trị tồn kho và phòng hộ rủi ro của các doanh nghiệp đầu mối xăng dầu lớn như Petrolimex và PVOIL.</w:t>
      </w:r>
    </w:p>
    <w:p w:rsidR="00660A15" w:rsidRDefault="00000000">
      <w:pPr>
        <w:spacing w:after="80" w:line="276" w:lineRule="auto"/>
      </w:pPr>
      <w:r>
        <w:t xml:space="preserve">Các kiến trúc chuỗi thời gian hiện đại như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và Chronos </w:t>
      </w:r>
      <w:hyperlink w:anchor="ref_16" w:history="1">
        <w:r>
          <w:rPr>
            <w:color w:val="1A56DB"/>
          </w:rPr>
          <w:t>[16]</w:t>
        </w:r>
      </w:hyperlink>
      <w:r>
        <w:t xml:space="preserve"> đã cải thiện đáng kể hiệu năng trên các benchmark tổng quát, nhưng phần lớn đều xử lý toàn bộ các biến đầu vào trong một không gian biểu diễn tương đối đồng nhất. Với dữ liệu năng lượng, ba nhóm tín hiệu có bản chất cơ bản khác nhau: động lượng giá tần số cao, trạng thái vĩ mô biến đổi chậm và phản ứng phi tuyến nhạy cú sốc biên độ lớn đòi hỏi các inductive bias chuyên biệt. Các mạng kết hợp chuyên gia (MoE) truyền thống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thường đưa cùng một tập đặc trưng tới mọi expert, làm suy giảm mức độ chuyên môn hóa.</w:t>
      </w:r>
    </w:p>
    <w:p w:rsidR="00660A15" w:rsidRDefault="00841901">
      <w:pPr>
        <w:spacing w:after="80" w:line="276" w:lineRule="auto"/>
      </w:pPr>
      <w:r>
        <w:t>Mô</w:t>
      </w:r>
      <w:r>
        <w:rPr>
          <w:lang w:val="vi-VN"/>
        </w:rPr>
        <w:t xml:space="preserve"> hình đề xuất </w:t>
      </w:r>
      <w:r w:rsidR="00000000">
        <w:t xml:space="preserve">GUMNetHet giải quyết điểm nghẽn này bằng kỹ thuật phân vùng đặc trưng (feature partitioning): nhóm giá và benchmark được xử lý bởi CNN-1D đa tỷ lệ; nhóm vĩ mô và chỉ số GPR bởi GRU-Attention; nhóm tỷ lệ crack-spread và độ biến động bởi Wavelet-KAN. Ba biểu diễn được hợp nhất linh hoạt thông qua một bộ định tuyến (gating router) phụ thuộc vào horizon dự báo và ngữ cảnh thị trường. Đóng góp chính của bài báo gồm: (i) Kiến trúc MoE dị thể với phân vùng đặc trưng theo bản chất kinh tế và miền tần số; (ii) Bộ định tuyến nhận biết horizon (horizon-aware routing); (iii) Đầu ra đa phân vị (multi-quantile head) kết hợp residual scaling để kiểm soát độ trôi phương sai; và (iv) Đánh giá thực nghiệm mở rộng walk-forward trên </w:t>
      </w:r>
      <m:oMath>
        <m:r>
          <w:rPr>
            <w:rFonts w:ascii="Cambria Math" w:hAnsi="Cambria Math"/>
          </w:rPr>
          <m:t>N = 4.512</m:t>
        </m:r>
      </m:oMath>
      <w:r w:rsidR="00000000">
        <w:t xml:space="preserve"> ngày giao dịch với bảng kết quả đầy đủ các chỉ số MAE, RMSE, MAPE,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000000">
        <w:t xml:space="preserve"> và DA%.</w:t>
      </w:r>
    </w:p>
    <w:p w:rsidR="00660A15" w:rsidRDefault="00000000">
      <w:pPr>
        <w:pStyle w:val="H1x"/>
        <w:keepNext/>
      </w:pPr>
      <w:r>
        <w:t>2. NGHIÊN CỨU LIÊN QUAN</w:t>
      </w:r>
    </w:p>
    <w:p w:rsidR="00660A15" w:rsidRDefault="00000000">
      <w:pPr>
        <w:spacing w:after="80" w:line="276" w:lineRule="auto"/>
      </w:pPr>
      <w:r>
        <w:t xml:space="preserve">Kilian </w:t>
      </w:r>
      <w:hyperlink w:anchor="ref_2" w:history="1">
        <w:r>
          <w:rPr>
            <w:color w:val="1A56DB"/>
          </w:rPr>
          <w:t>[2]</w:t>
        </w:r>
      </w:hyperlink>
      <w:r>
        <w:t xml:space="preserve"> và Baumeister &amp; Kilian </w:t>
      </w:r>
      <w:hyperlink w:anchor="ref_3" w:history="1">
        <w:r>
          <w:rPr>
            <w:color w:val="1A56DB"/>
          </w:rPr>
          <w:t>[3]</w:t>
        </w:r>
      </w:hyperlink>
      <w:r>
        <w:t xml:space="preserve"> đặt nền tảng cho việc phân tách cú sốc cung–cầu trong thị trường dầu, trong khi chỉ số GPR của Caldara &amp; Iacoviello </w:t>
      </w:r>
      <w:hyperlink w:anchor="ref_1" w:history="1">
        <w:r>
          <w:rPr>
            <w:color w:val="1A56DB"/>
          </w:rPr>
          <w:t>[1]</w:t>
        </w:r>
      </w:hyperlink>
      <w:r>
        <w:t xml:space="preserve"> cung cấp thước đo định lượng cho rủi ro địa chính trị. Ở phía mô hình, PatchTST </w:t>
      </w:r>
      <w:hyperlink w:anchor="ref_8" w:history="1">
        <w:r>
          <w:rPr>
            <w:color w:val="1A56DB"/>
          </w:rPr>
          <w:t>[8]</w:t>
        </w:r>
      </w:hyperlink>
      <w:r>
        <w:t xml:space="preserve">, iTransformer </w:t>
      </w:r>
      <w:hyperlink w:anchor="ref_9" w:history="1">
        <w:r>
          <w:rPr>
            <w:color w:val="1A56DB"/>
          </w:rPr>
          <w:t>[9]</w:t>
        </w:r>
      </w:hyperlink>
      <w:r>
        <w:t xml:space="preserve"> và TimesNet </w:t>
      </w:r>
      <w:hyperlink w:anchor="ref_10" w:history="1">
        <w:r>
          <w:rPr>
            <w:color w:val="1A56DB"/>
          </w:rPr>
          <w:t>[10]</w:t>
        </w:r>
      </w:hyperlink>
      <w:r>
        <w:t xml:space="preserve"> đại diện cho các thiết kế Transformer/biến thiên thời gian hiện đại; DLinear </w:t>
      </w:r>
      <w:hyperlink w:anchor="ref_11" w:history="1">
        <w:r>
          <w:rPr>
            <w:color w:val="1A56DB"/>
          </w:rPr>
          <w:t>[11]</w:t>
        </w:r>
      </w:hyperlink>
      <w:r>
        <w:t xml:space="preserve"> cho thấy mô hình tuyến tính có phân rã vẫn là baseline mạnh. TFT </w:t>
      </w:r>
      <w:hyperlink w:anchor="ref_12" w:history="1">
        <w:r>
          <w:rPr>
            <w:color w:val="1A56DB"/>
          </w:rPr>
          <w:t>[12]</w:t>
        </w:r>
      </w:hyperlink>
      <w:r>
        <w:t xml:space="preserve">, N-BEATS </w:t>
      </w:r>
      <w:hyperlink w:anchor="ref_13" w:history="1">
        <w:r>
          <w:rPr>
            <w:color w:val="1A56DB"/>
          </w:rPr>
          <w:t>[13]</w:t>
        </w:r>
      </w:hyperlink>
      <w:r>
        <w:t xml:space="preserve"> và N-HiTS </w:t>
      </w:r>
      <w:hyperlink w:anchor="ref_14" w:history="1">
        <w:r>
          <w:rPr>
            <w:color w:val="1A56DB"/>
          </w:rPr>
          <w:t>[14]</w:t>
        </w:r>
      </w:hyperlink>
      <w:r>
        <w:t xml:space="preserve"> mở rộng dự báo đa horizon; Mamba </w:t>
      </w:r>
      <w:hyperlink w:anchor="ref_15" w:history="1">
        <w:r>
          <w:rPr>
            <w:color w:val="1A56DB"/>
          </w:rPr>
          <w:t>[15]</w:t>
        </w:r>
      </w:hyperlink>
      <w:r>
        <w:t xml:space="preserve"> đưa state-space chọn lọc vào sequence modeling;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và TTM </w:t>
      </w:r>
      <w:hyperlink w:anchor="ref_19" w:history="1">
        <w:r>
          <w:rPr>
            <w:color w:val="1A56DB"/>
          </w:rPr>
          <w:t>[19]</w:t>
        </w:r>
      </w:hyperlink>
      <w:r>
        <w:t xml:space="preserve"> mở rộng sang foundation time-series models.</w:t>
      </w:r>
    </w:p>
    <w:p w:rsidR="00660A15" w:rsidRDefault="00000000">
      <w:pPr>
        <w:spacing w:after="80" w:line="276" w:lineRule="auto"/>
      </w:pPr>
      <w:r>
        <w:t xml:space="preserve">Về MoE, Jacobs et al. </w:t>
      </w:r>
      <w:hyperlink w:anchor="ref_20" w:history="1">
        <w:r>
          <w:rPr>
            <w:color w:val="1A56DB"/>
          </w:rPr>
          <w:t>[20]</w:t>
        </w:r>
      </w:hyperlink>
      <w:r>
        <w:t xml:space="preserve"> giới thiệu adaptive mixtures of local experts; Shazeer et al. </w:t>
      </w:r>
      <w:hyperlink w:anchor="ref_21" w:history="1">
        <w:r>
          <w:rPr>
            <w:color w:val="1A56DB"/>
          </w:rPr>
          <w:t>[21]</w:t>
        </w:r>
      </w:hyperlink>
      <w:r>
        <w:t xml:space="preserve"> và Switch Transformer </w:t>
      </w:r>
      <w:hyperlink w:anchor="ref_22" w:history="1">
        <w:r>
          <w:rPr>
            <w:color w:val="1A56DB"/>
          </w:rPr>
          <w:t>[22]</w:t>
        </w:r>
      </w:hyperlink>
      <w:r>
        <w:t xml:space="preserve"> phát triển sparse gating ở quy mô lớn. KAN </w:t>
      </w:r>
      <w:hyperlink w:anchor="ref_23" w:history="1">
        <w:r>
          <w:rPr>
            <w:color w:val="1A56DB"/>
          </w:rPr>
          <w:t>[23]</w:t>
        </w:r>
      </w:hyperlink>
      <w:r>
        <w:t xml:space="preserve"> và Wav-KAN </w:t>
      </w:r>
      <w:hyperlink w:anchor="ref_24" w:history="1">
        <w:r>
          <w:rPr>
            <w:color w:val="1A56DB"/>
          </w:rPr>
          <w:t>[24]</w:t>
        </w:r>
      </w:hyperlink>
      <w:r>
        <w:t xml:space="preserve"> thay thế activation cố định bằng hàm cơ sở có thể học, trong đó wavelet phù hợp với tín hiệu cục bộ đa độ phân giải </w:t>
      </w:r>
      <w:hyperlink w:anchor="ref_25" w:history="1">
        <w:r>
          <w:rPr>
            <w:color w:val="1A56DB"/>
          </w:rPr>
          <w:t>[25]</w:t>
        </w:r>
      </w:hyperlink>
      <w:r>
        <w:t xml:space="preserve">. Time-MoE </w:t>
      </w:r>
      <w:hyperlink w:anchor="ref_26" w:history="1">
        <w:r>
          <w:rPr>
            <w:color w:val="1A56DB"/>
          </w:rPr>
          <w:t>[26]</w:t>
        </w:r>
      </w:hyperlink>
      <w:r>
        <w:t xml:space="preserve"> và TimeMixer++ </w:t>
      </w:r>
      <w:hyperlink w:anchor="ref_27" w:history="1">
        <w:r>
          <w:rPr>
            <w:color w:val="1A56DB"/>
          </w:rPr>
          <w:t>[27]</w:t>
        </w:r>
      </w:hyperlink>
      <w:r>
        <w:t xml:space="preserve"> tiếp tục cho thấy giá trị của expert routing trong chuỗi thời gian. Khác với các thiết kế expert đồng nhất, GUMNetHet gán các loại kiến trúc khác nhau cho các nhóm biến khác nhau và điều kiện hóa router trên horizon.</w:t>
      </w:r>
    </w:p>
    <w:p w:rsidR="00660A15" w:rsidRDefault="00000000">
      <w:pPr>
        <w:pStyle w:val="H1x"/>
        <w:keepNext/>
      </w:pPr>
      <w:r>
        <w:lastRenderedPageBreak/>
        <w:t>3. PHƯƠNG PHÁP GUMNetHet</w:t>
      </w:r>
    </w:p>
    <w:p w:rsidR="00660A15" w:rsidRPr="001A206C" w:rsidRDefault="00000000">
      <w:pPr>
        <w:pStyle w:val="H2x"/>
        <w:keepNext/>
        <w:rPr>
          <w:lang w:val="vi-VN"/>
        </w:rPr>
      </w:pPr>
      <w:r>
        <w:t xml:space="preserve">3.1. </w:t>
      </w:r>
      <w:r w:rsidR="00841901">
        <w:t>Phát</w:t>
      </w:r>
      <w:r w:rsidR="00841901">
        <w:rPr>
          <w:lang w:val="vi-VN"/>
        </w:rPr>
        <w:t xml:space="preserve"> biểu bài toán</w:t>
      </w:r>
    </w:p>
    <w:p w:rsidR="00841901" w:rsidRDefault="00841901" w:rsidP="00841901">
      <w:r>
        <w:t xml:space="preserve">Gọi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t-L+1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L×D</m:t>
            </m:r>
          </m:sup>
        </m:sSup>
      </m:oMath>
      <w:r>
        <w:t xml:space="preserve"> là ma trận đặc trưng đa biến quá khứ với độ dài </w:t>
      </w:r>
      <m:oMath>
        <m:r>
          <w:rPr>
            <w:rFonts w:ascii="Cambria Math" w:hAnsi="Cambria Math"/>
          </w:rPr>
          <m:t>L = 30</m:t>
        </m:r>
      </m:oMath>
      <w:r>
        <w:t xml:space="preserve"> ngày giao dịch trên </w:t>
      </w:r>
      <m:oMath>
        <m:r>
          <w:rPr>
            <w:rFonts w:ascii="Cambria Math" w:hAnsi="Cambria Math"/>
          </w:rPr>
          <m:t>D</m:t>
        </m:r>
      </m:oMath>
      <w:r>
        <w:t xml:space="preserve"> chiều đầu vào. Mục tiêu dự báo là ước lượng trực tiếp vectơ lợi suất log tích lũy </w:t>
      </w:r>
      <m:oMath>
        <m:sSub>
          <m:sSubPr>
            <m:ctrlPr>
              <w:rPr>
                <w:rFonts w:ascii="Cambria Math" w:hAnsi="Cambria Math"/>
              </w:rPr>
            </m:ctrlPr>
          </m:sSubPr>
          <m:e>
            <m:r>
              <w:rPr>
                <w:rFonts w:ascii="Cambria Math" w:hAnsi="Cambria Math"/>
              </w:rPr>
              <m:t>R</m:t>
            </m:r>
          </m:e>
          <m:sub>
            <m:r>
              <w:rPr>
                <w:rFonts w:ascii="Cambria Math" w:hAnsi="Cambria Math"/>
              </w:rPr>
              <m:t>t→t+h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C</m:t>
            </m:r>
          </m:sup>
        </m:sSup>
      </m:oMath>
      <w:r>
        <w:t xml:space="preserve"> qua chu kỳ </w:t>
      </w:r>
      <m:oMath>
        <m:r>
          <w:rPr>
            <w:rFonts w:ascii="Cambria Math" w:hAnsi="Cambria Math"/>
          </w:rPr>
          <m:t>h ∈ {1, 3, 5, 7, 10, 20, 60}</m:t>
        </m:r>
      </m:oMath>
      <w:r>
        <w:t xml:space="preserve"> cho nhóm sản phẩm </w:t>
      </w:r>
      <m:oMath>
        <m:r>
          <w:rPr>
            <w:rFonts w:ascii="Cambria Math" w:hAnsi="Cambria Math"/>
          </w:rPr>
          <m:t>C ∈ {Xăng (RON95, RON92), Dầu (DO 0.05%, DO 0.001%)}</m:t>
        </m:r>
      </m:oMath>
      <w:r>
        <w:t xml:space="preserve"> được định nghĩa theo </w:t>
      </w:r>
      <w:hyperlink w:anchor="eq_1" w:history="1">
        <w:r>
          <w:rPr>
            <w:color w:val="1A56DB"/>
          </w:rPr>
          <w:t>(1)</w:t>
        </w:r>
      </w:hyperlink>
      <w:r>
        <w:t>:</w:t>
      </w:r>
    </w:p>
    <w:tbl>
      <w:tblPr>
        <w:tblW w:w="0" w:type="auto"/>
        <w:jc w:val="center"/>
        <w:tblLayout w:type="fixed"/>
        <w:tblLook w:val="04A0" w:firstRow="1" w:lastRow="0" w:firstColumn="1" w:lastColumn="0" w:noHBand="0" w:noVBand="1"/>
      </w:tblPr>
      <w:tblGrid>
        <w:gridCol w:w="8352"/>
        <w:gridCol w:w="1008"/>
      </w:tblGrid>
      <w:tr w:rsidR="00841901" w:rsidTr="00046968">
        <w:trPr>
          <w:jc w:val="center"/>
        </w:trPr>
        <w:tc>
          <w:tcPr>
            <w:tcW w:w="8352" w:type="dxa"/>
          </w:tcPr>
          <w:p w:rsidR="00841901" w:rsidRDefault="00841901" w:rsidP="00046968">
            <w:pPr>
              <w:spacing w:before="60" w:after="60"/>
              <w:jc w:val="center"/>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1008" w:type="dxa"/>
          </w:tcPr>
          <w:p w:rsidR="00841901" w:rsidRDefault="00841901" w:rsidP="00046968">
            <w:pPr>
              <w:spacing w:before="60" w:after="60"/>
              <w:jc w:val="right"/>
            </w:pPr>
            <w:bookmarkStart w:id="0" w:name="eq_1"/>
            <w:r>
              <w:t>(1)</w:t>
            </w:r>
            <w:bookmarkEnd w:id="0"/>
          </w:p>
        </w:tc>
      </w:tr>
    </w:tbl>
    <w:p w:rsidR="00841901" w:rsidRDefault="00841901" w:rsidP="00841901">
      <w:r>
        <w:t xml:space="preserve">Mức giá dự báo tương lai </w:t>
      </w:r>
      <m:oMath>
        <m:sSub>
          <m:sSubPr>
            <m:ctrlPr>
              <w:rPr>
                <w:rFonts w:ascii="Cambria Math" w:hAnsi="Cambria Math"/>
              </w:rPr>
            </m:ctrlPr>
          </m:sSubPr>
          <m:e>
            <m:r>
              <w:rPr>
                <w:rFonts w:ascii="Cambria Math" w:hAnsi="Cambria Math"/>
              </w:rPr>
              <m:t>P̂</m:t>
            </m:r>
          </m:e>
          <m:sub>
            <m:r>
              <w:rPr>
                <w:rFonts w:ascii="Cambria Math" w:hAnsi="Cambria Math"/>
              </w:rPr>
              <m:t>t+h, c</m:t>
            </m:r>
          </m:sub>
        </m:sSub>
      </m:oMath>
      <w:r>
        <w:t xml:space="preserve"> sau đó được phục hồi chính xác thông qua phép biến đổi nghịch đảo tiền định theo </w:t>
      </w:r>
      <w:hyperlink w:anchor="eq_2" w:history="1">
        <w:r>
          <w:rPr>
            <w:color w:val="1A56DB"/>
          </w:rPr>
          <w:t>(2)</w:t>
        </w:r>
      </w:hyperlink>
      <w:r>
        <w:t>:</w:t>
      </w:r>
    </w:p>
    <w:tbl>
      <w:tblPr>
        <w:tblW w:w="0" w:type="auto"/>
        <w:jc w:val="center"/>
        <w:tblLayout w:type="fixed"/>
        <w:tblLook w:val="04A0" w:firstRow="1" w:lastRow="0" w:firstColumn="1" w:lastColumn="0" w:noHBand="0" w:noVBand="1"/>
      </w:tblPr>
      <w:tblGrid>
        <w:gridCol w:w="8352"/>
        <w:gridCol w:w="1008"/>
      </w:tblGrid>
      <w:tr w:rsidR="00841901" w:rsidTr="00046968">
        <w:trPr>
          <w:jc w:val="center"/>
        </w:trPr>
        <w:tc>
          <w:tcPr>
            <w:tcW w:w="8352" w:type="dxa"/>
          </w:tcPr>
          <w:p w:rsidR="00841901" w:rsidRDefault="00841901" w:rsidP="00046968">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tcW w:w="1008" w:type="dxa"/>
          </w:tcPr>
          <w:p w:rsidR="00841901" w:rsidRDefault="00841901" w:rsidP="00046968">
            <w:pPr>
              <w:spacing w:before="60" w:after="60"/>
              <w:jc w:val="right"/>
            </w:pPr>
            <w:bookmarkStart w:id="1" w:name="eq_2"/>
            <w:r>
              <w:t>(2)</w:t>
            </w:r>
            <w:bookmarkEnd w:id="1"/>
          </w:p>
        </w:tc>
      </w:tr>
    </w:tbl>
    <w:p w:rsidR="00660A15" w:rsidRPr="001A206C" w:rsidRDefault="00000000">
      <w:pPr>
        <w:pStyle w:val="H2x"/>
        <w:keepNext/>
        <w:rPr>
          <w:lang w:val="vi-VN"/>
        </w:rPr>
      </w:pPr>
      <w:r>
        <w:t xml:space="preserve">3.2. </w:t>
      </w:r>
      <w:r w:rsidR="0028671F">
        <w:t>Khung</w:t>
      </w:r>
      <w:r w:rsidR="0028671F">
        <w:rPr>
          <w:lang w:val="vi-VN"/>
        </w:rPr>
        <w:t xml:space="preserve"> kiến trúc hệ thống </w:t>
      </w:r>
      <w:r w:rsidR="0028671F">
        <w:t>GUMNetHet</w:t>
      </w:r>
    </w:p>
    <w:p w:rsidR="0028671F" w:rsidRDefault="0028671F" w:rsidP="0028671F">
      <w:r>
        <w:rPr>
          <w:sz w:val="16"/>
        </w:rPr>
        <w:t>Hình 1</w:t>
      </w:r>
      <w:r>
        <w:t xml:space="preserve"> mô tả chi tiết kiến trúc nơ-ron của GUMNetHet, thể hiện cơ chế hoạt động nội bộ của ba khối chuyên gia chuyên biệt, bộ định tuyến cổng động và đầu ra dự báo phân vị co giãn phần dư.</w:t>
      </w:r>
    </w:p>
    <w:p w:rsidR="00660A15" w:rsidRDefault="00000000">
      <w:pPr>
        <w:spacing w:after="20"/>
        <w:jc w:val="center"/>
      </w:pPr>
      <w:r>
        <w:rPr>
          <w:noProof/>
        </w:rPr>
        <w:drawing>
          <wp:inline distT="0" distB="0" distL="0" distR="0">
            <wp:extent cx="6371072" cy="3005666"/>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8"/>
                    <a:srcRect b="27901"/>
                    <a:stretch/>
                  </pic:blipFill>
                  <pic:spPr bwMode="auto">
                    <a:xfrm>
                      <a:off x="0" y="0"/>
                      <a:ext cx="6372000" cy="3006104"/>
                    </a:xfrm>
                    <a:prstGeom prst="rect">
                      <a:avLst/>
                    </a:prstGeom>
                    <a:ln>
                      <a:noFill/>
                    </a:ln>
                    <a:extLst>
                      <a:ext uri="{53640926-AAD7-44D8-BBD7-CCE9431645EC}">
                        <a14:shadowObscured xmlns:a14="http://schemas.microsoft.com/office/drawing/2010/main"/>
                      </a:ext>
                    </a:extLst>
                  </pic:spPr>
                </pic:pic>
              </a:graphicData>
            </a:graphic>
          </wp:inline>
        </w:drawing>
      </w:r>
    </w:p>
    <w:p w:rsidR="00660A15" w:rsidRDefault="00000000">
      <w:pPr>
        <w:pStyle w:val="Caption"/>
        <w:spacing w:before="60" w:after="120"/>
      </w:pPr>
      <w:bookmarkStart w:id="2" w:name="fig_1"/>
      <w:bookmarkEnd w:id="2"/>
      <w:r>
        <w:rPr>
          <w:sz w:val="16"/>
        </w:rPr>
        <w:t>Hình 1. Kiến trúc GUMNetHet: phân vùng đặc trưng, ba expert dị thể, horizon-aware router và multi-quantile head.</w:t>
      </w:r>
    </w:p>
    <w:p w:rsidR="0028671F" w:rsidRDefault="0028671F" w:rsidP="0028671F">
      <w:pPr>
        <w:keepNext/>
        <w:spacing w:before="120"/>
      </w:pPr>
      <w:r>
        <w:rPr>
          <w:b/>
          <w:i/>
        </w:rPr>
        <w:t>3.</w:t>
      </w:r>
      <w:r>
        <w:rPr>
          <w:b/>
          <w:i/>
          <w:lang w:val="vi-VN"/>
        </w:rPr>
        <w:t>2</w:t>
      </w:r>
      <w:r>
        <w:rPr>
          <w:b/>
          <w:i/>
        </w:rPr>
        <w:t>.1. Chuyên gia Động lượng Giá: 1D-CNN Đa tỷ lệ</w:t>
      </w:r>
    </w:p>
    <w:p w:rsidR="0028671F" w:rsidRDefault="0028671F" w:rsidP="0028671F">
      <w:r>
        <w:t xml:space="preserve">Chuyên gia giá sử dụng ba tầng tích chập 1D song song với kích thước kernel </w:t>
      </w:r>
      <m:oMath>
        <m:r>
          <w:rPr>
            <w:rFonts w:ascii="Cambria Math" w:hAnsi="Cambria Math"/>
          </w:rPr>
          <m:t>k ∈ {3, 7, 15}</m:t>
        </m:r>
      </m:oMath>
      <w:r>
        <w:t xml:space="preserve"> để trích xuất đặc trưng thời gian đa độ phân giải, kết hợp chuẩn hóa tầng và cơ chế chú ý theo thời gian theo </w:t>
      </w:r>
      <w:hyperlink w:anchor="eq_3" w:history="1">
        <w:r>
          <w:rPr>
            <w:color w:val="1A56DB"/>
          </w:rPr>
          <w:t>(3)</w:t>
        </w:r>
      </w:hyperlink>
      <w:r>
        <w:t xml:space="preserve"> và </w:t>
      </w:r>
      <w:hyperlink w:anchor="eq_4" w:history="1">
        <w:r>
          <w:rPr>
            <w:color w:val="1A56DB"/>
          </w:rPr>
          <w:t>(4)</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1008" w:type="dxa"/>
          </w:tcPr>
          <w:p w:rsidR="0028671F" w:rsidRDefault="0028671F" w:rsidP="00046968">
            <w:pPr>
              <w:spacing w:before="60" w:after="60"/>
              <w:jc w:val="right"/>
            </w:pPr>
            <w:bookmarkStart w:id="3" w:name="eq_3"/>
            <w:r>
              <w:t>(3)</w:t>
            </w:r>
            <w:bookmarkEnd w:id="3"/>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tcW w:w="1008" w:type="dxa"/>
          </w:tcPr>
          <w:p w:rsidR="0028671F" w:rsidRDefault="0028671F" w:rsidP="00046968">
            <w:pPr>
              <w:spacing w:before="60" w:after="60"/>
              <w:jc w:val="right"/>
            </w:pPr>
            <w:bookmarkStart w:id="4" w:name="eq_4"/>
            <w:r>
              <w:t>(4)</w:t>
            </w:r>
            <w:bookmarkEnd w:id="4"/>
          </w:p>
        </w:tc>
      </w:tr>
    </w:tbl>
    <w:p w:rsidR="0028671F" w:rsidRDefault="0028671F" w:rsidP="0028671F">
      <w:pPr>
        <w:keepNext/>
        <w:spacing w:before="120"/>
      </w:pPr>
      <w:r>
        <w:rPr>
          <w:b/>
          <w:i/>
        </w:rPr>
        <w:t>3.</w:t>
      </w:r>
      <w:r>
        <w:rPr>
          <w:b/>
          <w:i/>
          <w:lang w:val="vi-VN"/>
        </w:rPr>
        <w:t>2</w:t>
      </w:r>
      <w:r>
        <w:rPr>
          <w:b/>
          <w:i/>
        </w:rPr>
        <w:t>.2. Chuyên gia Chế độ Vĩ mô: GRU-Attention</w:t>
      </w:r>
    </w:p>
    <w:p w:rsidR="0028671F" w:rsidRDefault="0028671F" w:rsidP="0028671F">
      <w:r>
        <w:t xml:space="preserve">Chuyên gia kinh tế vĩ mô xử lý các tín hiệu xu hướng tần số thấp thông qua mạng GRU 2 tầng xếp chồng với dropout = 0.1, trích xuất biểu diễn trạng thái ẩn cuối cùng </w:t>
      </w:r>
      <m:oMath>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theo </w:t>
      </w:r>
      <w:hyperlink w:anchor="eq_5" w:history="1">
        <w:r>
          <w:rPr>
            <w:color w:val="1A56DB"/>
          </w:rPr>
          <w:t>(5)</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tcPr>
          <w:p w:rsidR="0028671F" w:rsidRDefault="0028671F" w:rsidP="00046968">
            <w:pPr>
              <w:spacing w:before="60" w:after="60"/>
              <w:jc w:val="right"/>
            </w:pPr>
            <w:bookmarkStart w:id="5" w:name="eq_5"/>
            <w:r>
              <w:t>(5)</w:t>
            </w:r>
            <w:bookmarkEnd w:id="5"/>
          </w:p>
        </w:tc>
      </w:tr>
    </w:tbl>
    <w:p w:rsidR="0028671F" w:rsidRDefault="0028671F" w:rsidP="0028671F">
      <w:pPr>
        <w:keepNext/>
        <w:spacing w:before="120"/>
      </w:pPr>
      <w:r>
        <w:rPr>
          <w:b/>
          <w:i/>
        </w:rPr>
        <w:t>3.</w:t>
      </w:r>
      <w:r>
        <w:rPr>
          <w:b/>
          <w:i/>
          <w:lang w:val="vi-VN"/>
        </w:rPr>
        <w:t>2</w:t>
      </w:r>
      <w:r>
        <w:rPr>
          <w:b/>
          <w:i/>
        </w:rPr>
        <w:t>.3. Chuyên gia Triệt tiêu Cú sốc Phi tuyến: Wavelet-KAN</w:t>
      </w:r>
    </w:p>
    <w:p w:rsidR="0028671F" w:rsidRDefault="0028671F" w:rsidP="0028671F">
      <w:r>
        <w:t xml:space="preserve">Để nắm bắt các đứt gãy phi tuyến tính nghiêm trọng do các sự kiện rủi ro địa chính trị cực đoan, chuyên gia thứ ba triển khai Mạng Kolmogorov-Arnold tích hợp sóng con Mexican Hat </w:t>
      </w:r>
      <m:oMath>
        <m:r>
          <w:rPr>
            <w:rFonts w:ascii="Cambria Math" w:hAnsi="Cambria Math"/>
          </w:rPr>
          <m:t>ψ(z)</m:t>
        </m:r>
      </m:oMath>
      <w:r>
        <w:t xml:space="preserve"> với các tham số dịch chuyển </w:t>
      </w:r>
      <m:oMath>
        <m:r>
          <w:rPr>
            <w:rFonts w:ascii="Cambria Math" w:hAnsi="Cambria Math"/>
          </w:rPr>
          <m:t>t</m:t>
        </m:r>
      </m:oMath>
      <w:r>
        <w:t xml:space="preserve"> và co giãn </w:t>
      </w:r>
      <m:oMath>
        <m:r>
          <w:rPr>
            <w:rFonts w:ascii="Cambria Math" w:hAnsi="Cambria Math"/>
          </w:rPr>
          <m:t>s</m:t>
        </m:r>
      </m:oMath>
      <w:r>
        <w:t xml:space="preserve"> có thể học theo </w:t>
      </w:r>
      <w:hyperlink w:anchor="eq_6" w:history="1">
        <w:r>
          <w:rPr>
            <w:color w:val="1A56DB"/>
          </w:rPr>
          <w:t>(6)</w:t>
        </w:r>
      </w:hyperlink>
      <w:r>
        <w:t xml:space="preserve"> và </w:t>
      </w:r>
      <w:hyperlink w:anchor="eq_7" w:history="1">
        <w:r>
          <w:rPr>
            <w:color w:val="1A56DB"/>
          </w:rPr>
          <w:t>(7)</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1008" w:type="dxa"/>
          </w:tcPr>
          <w:p w:rsidR="0028671F" w:rsidRDefault="0028671F" w:rsidP="00046968">
            <w:pPr>
              <w:spacing w:before="60" w:after="60"/>
              <w:jc w:val="right"/>
            </w:pPr>
            <w:bookmarkStart w:id="6" w:name="eq_6"/>
            <w:r>
              <w:t>(6)</w:t>
            </w:r>
            <w:bookmarkEnd w:id="6"/>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tcW w:w="1008" w:type="dxa"/>
          </w:tcPr>
          <w:p w:rsidR="0028671F" w:rsidRDefault="0028671F" w:rsidP="00046968">
            <w:pPr>
              <w:spacing w:before="60" w:after="60"/>
              <w:jc w:val="right"/>
            </w:pPr>
            <w:bookmarkStart w:id="7" w:name="eq_7"/>
            <w:r>
              <w:t>(7)</w:t>
            </w:r>
            <w:bookmarkEnd w:id="7"/>
          </w:p>
        </w:tc>
      </w:tr>
    </w:tbl>
    <w:p w:rsidR="0028671F" w:rsidRDefault="0028671F" w:rsidP="001A206C">
      <w:pPr>
        <w:keepNext/>
        <w:spacing w:before="120"/>
      </w:pPr>
      <w:r w:rsidRPr="001A206C">
        <w:rPr>
          <w:b/>
          <w:i/>
        </w:rPr>
        <w:t>3.</w:t>
      </w:r>
      <w:r>
        <w:rPr>
          <w:b/>
          <w:i/>
          <w:lang w:val="vi-VN"/>
        </w:rPr>
        <w:t>2</w:t>
      </w:r>
      <w:r w:rsidRPr="001A206C">
        <w:rPr>
          <w:b/>
          <w:i/>
        </w:rPr>
        <w:t>.</w:t>
      </w:r>
      <w:r>
        <w:rPr>
          <w:b/>
          <w:i/>
          <w:lang w:val="vi-VN"/>
        </w:rPr>
        <w:t>4</w:t>
      </w:r>
      <w:r w:rsidRPr="001A206C">
        <w:rPr>
          <w:b/>
          <w:i/>
        </w:rPr>
        <w:t xml:space="preserve"> Bộ Định tuyến Cổng Động Nhận biết Chu kỳ</w:t>
      </w:r>
    </w:p>
    <w:p w:rsidR="0028671F" w:rsidRDefault="0028671F" w:rsidP="0028671F">
      <w:r>
        <w:t xml:space="preserve">Nhằm điều tiết linh hoạt đóng góp của từng chuyên gia qua các chu kỳ dự báo </w:t>
      </w:r>
      <m:oMath>
        <m:r>
          <w:rPr>
            <w:rFonts w:ascii="Cambria Math" w:hAnsi="Cambria Math"/>
          </w:rPr>
          <m:t>h</m:t>
        </m:r>
      </m:oMath>
      <w:r>
        <w:t xml:space="preserve"> và các chế độ thị trường khác nhau, bộ định tuyến nhận đầu vào là các biểu diễn chuyên gia được ghép nối, nhúng vị trí chu kỳ </w:t>
      </w:r>
      <m:oMath>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và thống kê tóm tắt ngữ cảnh toàn cục </w:t>
      </w:r>
      <m:oMath>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 xml:space="preserve"> = [mean(X), std(X)] ∈ </m:t>
        </m:r>
        <m:sSup>
          <m:sSupPr>
            <m:ctrlPr>
              <w:rPr>
                <w:rFonts w:ascii="Cambria Math" w:hAnsi="Cambria Math"/>
              </w:rPr>
            </m:ctrlPr>
          </m:sSupPr>
          <m:e>
            <m:r>
              <m:rPr>
                <m:scr m:val="double-struck"/>
              </m:rPr>
              <w:rPr>
                <w:rFonts w:ascii="Cambria Math" w:hAnsi="Cambria Math"/>
              </w:rPr>
              <m:t>R</m:t>
            </m:r>
          </m:e>
          <m:sup>
            <m:r>
              <w:rPr>
                <w:rFonts w:ascii="Cambria Math" w:hAnsi="Cambria Math"/>
              </w:rPr>
              <m:t>2D</m:t>
            </m:r>
          </m:sup>
        </m:sSup>
      </m:oMath>
      <w:r>
        <w:t xml:space="preserve"> theo </w:t>
      </w:r>
      <w:hyperlink w:anchor="eq_8" w:history="1">
        <w:r>
          <w:rPr>
            <w:color w:val="1A56DB"/>
          </w:rPr>
          <w:t>(8)</w:t>
        </w:r>
      </w:hyperlink>
      <w:r>
        <w:t xml:space="preserve">, </w:t>
      </w:r>
      <w:hyperlink w:anchor="eq_9" w:history="1">
        <w:r>
          <w:rPr>
            <w:color w:val="1A56DB"/>
          </w:rPr>
          <w:t>(9)</w:t>
        </w:r>
      </w:hyperlink>
      <w:r>
        <w:t xml:space="preserve"> và </w:t>
      </w:r>
      <w:hyperlink w:anchor="eq_10" w:history="1">
        <w:r>
          <w:rPr>
            <w:color w:val="1A56DB"/>
          </w:rPr>
          <w:t>(10)</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1008" w:type="dxa"/>
          </w:tcPr>
          <w:p w:rsidR="0028671F" w:rsidRDefault="0028671F" w:rsidP="00046968">
            <w:pPr>
              <w:spacing w:before="60" w:after="60"/>
              <w:jc w:val="right"/>
            </w:pPr>
            <w:bookmarkStart w:id="8" w:name="eq_8"/>
            <w:r>
              <w:t>(8)</w:t>
            </w:r>
            <w:bookmarkEnd w:id="8"/>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1008" w:type="dxa"/>
          </w:tcPr>
          <w:p w:rsidR="0028671F" w:rsidRDefault="0028671F" w:rsidP="00046968">
            <w:pPr>
              <w:spacing w:before="60" w:after="60"/>
              <w:jc w:val="right"/>
            </w:pPr>
            <w:bookmarkStart w:id="9" w:name="eq_9"/>
            <w:r>
              <w:t>(9)</w:t>
            </w:r>
            <w:bookmarkEnd w:id="9"/>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tcPr>
          <w:p w:rsidR="0028671F" w:rsidRDefault="0028671F" w:rsidP="00046968">
            <w:pPr>
              <w:spacing w:before="60" w:after="60"/>
              <w:jc w:val="right"/>
            </w:pPr>
            <w:bookmarkStart w:id="10" w:name="eq_10"/>
            <w:r>
              <w:t>(10)</w:t>
            </w:r>
            <w:bookmarkEnd w:id="10"/>
          </w:p>
        </w:tc>
      </w:tr>
    </w:tbl>
    <w:p w:rsidR="0028671F" w:rsidRPr="001A206C" w:rsidRDefault="0028671F" w:rsidP="001A206C">
      <w:pPr>
        <w:keepNext/>
        <w:spacing w:before="120"/>
        <w:rPr>
          <w:b/>
          <w:i/>
        </w:rPr>
      </w:pPr>
      <w:r w:rsidRPr="001A206C">
        <w:rPr>
          <w:b/>
          <w:i/>
        </w:rPr>
        <w:lastRenderedPageBreak/>
        <w:t>3.</w:t>
      </w:r>
      <w:r>
        <w:rPr>
          <w:b/>
          <w:i/>
          <w:lang w:val="vi-VN"/>
        </w:rPr>
        <w:t>2</w:t>
      </w:r>
      <w:r w:rsidRPr="001A206C">
        <w:rPr>
          <w:b/>
          <w:i/>
        </w:rPr>
        <w:t>.</w:t>
      </w:r>
      <w:r>
        <w:rPr>
          <w:b/>
          <w:i/>
          <w:lang w:val="vi-VN"/>
        </w:rPr>
        <w:t>5</w:t>
      </w:r>
      <w:r w:rsidRPr="001A206C">
        <w:rPr>
          <w:b/>
          <w:i/>
        </w:rPr>
        <w:t xml:space="preserve"> Cơ chế Co giãn Phần dư &amp; Đầu ra Dự báo Đa Phân vị</w:t>
      </w:r>
    </w:p>
    <w:p w:rsidR="0028671F" w:rsidRDefault="0028671F" w:rsidP="0028671F">
      <w:r>
        <w:t xml:space="preserve">Để ngăn chặn sự bùng nổ phương sai ở chu kỳ dài hạn (như H60), GUMNetHet tích hợp vectơ co giãn phần dư </w:t>
      </w:r>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H</m:t>
            </m:r>
          </m:sup>
        </m:sSup>
      </m:oMath>
      <w:r>
        <w:t xml:space="preserve"> được khởi tạo tại 0.1, cung cấp các dự báo lợi suất đa phân vị cho các mức </w:t>
      </w:r>
      <m:oMath>
        <m:r>
          <w:rPr>
            <w:rFonts w:ascii="Cambria Math" w:hAnsi="Cambria Math"/>
          </w:rPr>
          <m:t xml:space="preserve">q ∈ </m:t>
        </m:r>
        <m:r>
          <m:rPr>
            <m:scr m:val="script"/>
          </m:rPr>
          <w:rPr>
            <w:rFonts w:ascii="Cambria Math" w:hAnsi="Cambria Math"/>
          </w:rPr>
          <m:t>Q</m:t>
        </m:r>
        <m:r>
          <w:rPr>
            <w:rFonts w:ascii="Cambria Math" w:hAnsi="Cambria Math"/>
          </w:rPr>
          <m:t xml:space="preserve"> = {0.1, 0.5, 0.9}</m:t>
        </m:r>
      </m:oMath>
      <w:r>
        <w:t xml:space="preserve"> theo </w:t>
      </w:r>
      <w:hyperlink w:anchor="eq_11" w:history="1">
        <w:r>
          <w:rPr>
            <w:color w:val="1A56DB"/>
          </w:rPr>
          <w:t>(11)</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1008" w:type="dxa"/>
          </w:tcPr>
          <w:p w:rsidR="0028671F" w:rsidRDefault="0028671F" w:rsidP="00046968">
            <w:pPr>
              <w:spacing w:before="60" w:after="60"/>
              <w:jc w:val="right"/>
            </w:pPr>
            <w:bookmarkStart w:id="11" w:name="eq_11"/>
            <w:r>
              <w:t>(11)</w:t>
            </w:r>
            <w:bookmarkEnd w:id="11"/>
          </w:p>
        </w:tc>
      </w:tr>
    </w:tbl>
    <w:p w:rsidR="0028671F" w:rsidRPr="001A206C" w:rsidRDefault="0028671F" w:rsidP="001A206C">
      <w:pPr>
        <w:keepNext/>
        <w:spacing w:before="120"/>
        <w:rPr>
          <w:b/>
          <w:i/>
        </w:rPr>
      </w:pPr>
      <w:r w:rsidRPr="001A206C">
        <w:rPr>
          <w:b/>
          <w:i/>
        </w:rPr>
        <w:t>3.</w:t>
      </w:r>
      <w:r>
        <w:rPr>
          <w:b/>
          <w:i/>
          <w:lang w:val="vi-VN"/>
        </w:rPr>
        <w:t>2</w:t>
      </w:r>
      <w:r w:rsidRPr="001A206C">
        <w:rPr>
          <w:b/>
          <w:i/>
        </w:rPr>
        <w:t>.</w:t>
      </w:r>
      <w:r>
        <w:rPr>
          <w:b/>
          <w:i/>
          <w:lang w:val="vi-VN"/>
        </w:rPr>
        <w:t>6</w:t>
      </w:r>
      <w:r w:rsidRPr="001A206C">
        <w:rPr>
          <w:b/>
          <w:i/>
        </w:rPr>
        <w:t xml:space="preserve"> Tối ưu hóa Hàm Mất mát Kép</w:t>
      </w:r>
    </w:p>
    <w:p w:rsidR="0028671F" w:rsidRDefault="0028671F" w:rsidP="0028671F">
      <w:r>
        <w:t xml:space="preserve">Hàm mục tiêu tổng thể kết hợp giữa mất mát pinball đa phân vị và điều chuẩn cân bằng tải nhằm chống sụp đổ cổng định tuyến theo </w:t>
      </w:r>
      <w:hyperlink w:anchor="eq_12" w:history="1">
        <w:r>
          <w:rPr>
            <w:color w:val="1A56DB"/>
          </w:rPr>
          <w:t>(12)</w:t>
        </w:r>
      </w:hyperlink>
      <w:r>
        <w:t xml:space="preserve">, </w:t>
      </w:r>
      <w:hyperlink w:anchor="eq_13" w:history="1">
        <w:r>
          <w:rPr>
            <w:color w:val="1A56DB"/>
          </w:rPr>
          <w:t>(13)</w:t>
        </w:r>
      </w:hyperlink>
      <w:r>
        <w:t xml:space="preserve"> và </w:t>
      </w:r>
      <w:hyperlink w:anchor="eq_14" w:history="1">
        <w:r>
          <w:rPr>
            <w:color w:val="1A56DB"/>
          </w:rPr>
          <w:t>(14)</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1008" w:type="dxa"/>
          </w:tcPr>
          <w:p w:rsidR="0028671F" w:rsidRDefault="0028671F" w:rsidP="00046968">
            <w:pPr>
              <w:spacing w:before="60" w:after="60"/>
              <w:jc w:val="right"/>
            </w:pPr>
            <w:bookmarkStart w:id="12" w:name="eq_12"/>
            <w:r>
              <w:t>(12)</w:t>
            </w:r>
            <w:bookmarkEnd w:id="12"/>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1008" w:type="dxa"/>
          </w:tcPr>
          <w:p w:rsidR="0028671F" w:rsidRDefault="0028671F" w:rsidP="00046968">
            <w:pPr>
              <w:spacing w:before="60" w:after="60"/>
              <w:jc w:val="right"/>
            </w:pPr>
            <w:bookmarkStart w:id="13" w:name="eq_13"/>
            <w:r>
              <w:t>(13)</w:t>
            </w:r>
            <w:bookmarkEnd w:id="13"/>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1008" w:type="dxa"/>
          </w:tcPr>
          <w:p w:rsidR="0028671F" w:rsidRDefault="0028671F" w:rsidP="00046968">
            <w:pPr>
              <w:spacing w:before="60" w:after="60"/>
              <w:jc w:val="right"/>
            </w:pPr>
            <w:bookmarkStart w:id="14" w:name="eq_14"/>
            <w:r>
              <w:t>(14)</w:t>
            </w:r>
            <w:bookmarkEnd w:id="14"/>
          </w:p>
        </w:tc>
      </w:tr>
    </w:tbl>
    <w:p w:rsidR="0028671F" w:rsidRDefault="0028671F">
      <w:pPr>
        <w:pStyle w:val="H2x"/>
        <w:keepNext/>
      </w:pPr>
    </w:p>
    <w:p w:rsidR="00660A15" w:rsidRDefault="00000000">
      <w:pPr>
        <w:pStyle w:val="H1x"/>
        <w:keepNext/>
      </w:pPr>
      <w:r>
        <w:t>4. THIẾT LẬP THỰC NGHIỆM</w:t>
      </w:r>
    </w:p>
    <w:p w:rsidR="00660A15" w:rsidRDefault="00000000">
      <w:pPr>
        <w:pStyle w:val="H2x"/>
        <w:keepNext/>
      </w:pPr>
      <w:r>
        <w:t>4.1. Dữ liệu và giao thức walk-forward</w:t>
      </w:r>
    </w:p>
    <w:p w:rsidR="00660A15" w:rsidRDefault="00000000">
      <w:pPr>
        <w:spacing w:after="80" w:line="276" w:lineRule="auto"/>
      </w:pPr>
      <w:r>
        <w:t xml:space="preserve">Dữ liệu bao phủ 03/11/2008–30/04/2026 với </w:t>
      </w:r>
      <m:oMath>
        <m:r>
          <w:rPr>
            <w:rFonts w:ascii="Cambria Math" w:hAnsi="Cambria Math"/>
          </w:rPr>
          <m:t>N = 4.512</m:t>
        </m:r>
      </m:oMath>
      <w:r>
        <w:t xml:space="preserve"> quan sát ngày giao dịch. Hai target được báo cáo là MG95 và DO 0.001% theo Platts; các biến ngoại sinh gồm Platts liên sản phẩm, WTI, Brent, GPR </w:t>
      </w:r>
      <w:hyperlink w:anchor="ref_1" w:history="1">
        <w:r>
          <w:rPr>
            <w:color w:val="1A56DB"/>
          </w:rPr>
          <w:t>[1]</w:t>
        </w:r>
      </w:hyperlink>
      <w:r>
        <w:t>, DXY, sản lượng dầu, crack-spread, realized volatility và biến lịch.</w:t>
      </w:r>
    </w:p>
    <w:p w:rsidR="00660A15" w:rsidRDefault="00000000">
      <w:pPr>
        <w:spacing w:after="80" w:line="276" w:lineRule="auto"/>
      </w:pPr>
      <w:r>
        <w:t xml:space="preserve">Để tránh look-ahead bias, các biến ngày được dùng ở </w:t>
      </w:r>
      <m:oMath>
        <m:r>
          <w:rPr>
            <w:rFonts w:ascii="Cambria Math" w:hAnsi="Cambria Math"/>
          </w:rPr>
          <m:t>t - 1</m:t>
        </m:r>
      </m:oMath>
      <w:r>
        <w:t xml:space="preserve">; GPR được áp lag 30 ngày lịch; sản lượng dầu áp lag 7 ngày; các biến rolling được tính sau khi lag. Mọi scaler chỉ fit trên train tại từng bước walk-forward. Lookback </w:t>
      </w:r>
      <m:oMath>
        <m:r>
          <w:rPr>
            <w:rFonts w:ascii="Cambria Math" w:hAnsi="Cambria Math"/>
          </w:rPr>
          <m:t>L = 30</m:t>
        </m:r>
      </m:oMath>
      <w:r>
        <w:t>; train/validation=85/15 ở mỗi lần mở rộng. Cửa sổ test tăng từ 100 ngày ở H1–H5 lên 600 ngày ở H60.</w:t>
      </w:r>
    </w:p>
    <w:p w:rsidR="00660A15" w:rsidRPr="001A206C" w:rsidRDefault="00000000">
      <w:pPr>
        <w:pStyle w:val="H2x"/>
        <w:keepNext/>
        <w:rPr>
          <w:lang w:val="vi-VN"/>
        </w:rPr>
      </w:pPr>
      <w:r>
        <w:t>4.2.</w:t>
      </w:r>
      <w:r w:rsidR="0005157D">
        <w:rPr>
          <w:lang w:val="vi-VN"/>
        </w:rPr>
        <w:t xml:space="preserve"> Kiểm định thống kê</w:t>
      </w:r>
      <w:r>
        <w:t xml:space="preserve"> và cấu hình</w:t>
      </w:r>
      <w:r w:rsidR="0005157D">
        <w:rPr>
          <w:lang w:val="vi-VN"/>
        </w:rPr>
        <w:t xml:space="preserve"> huấn luyện</w:t>
      </w:r>
    </w:p>
    <w:p w:rsidR="00660A15" w:rsidRDefault="00000000">
      <w:pPr>
        <w:spacing w:after="80" w:line="276" w:lineRule="auto"/>
      </w:pPr>
      <w:r>
        <w:t xml:space="preserve">Kiểm định ADF và KPSS trong </w:t>
      </w:r>
      <w:hyperlink w:anchor="tbl_1" w:history="1">
        <w:r>
          <w:rPr>
            <w:color w:val="1A56DB"/>
          </w:rPr>
          <w:t>Bảng 1</w:t>
        </w:r>
      </w:hyperlink>
      <w:r>
        <w:t xml:space="preserve"> cho bằng chứng về tính dừng ở mức giá; sau chuyển log-return, kiểm định ADF bác bỏ giả thuyết nghiệm đơn vị (</w:t>
      </w:r>
      <m:oMath>
        <m:r>
          <w:rPr>
            <w:rFonts w:ascii="Cambria Math" w:hAnsi="Cambria Math"/>
          </w:rPr>
          <m:t>p &lt; 0.001</m:t>
        </m:r>
      </m:oMath>
      <w:r>
        <w:t>) trên tất cả các chuỗi. Độ nhọn (Kurtosis) của lợi suất rất cao (đạt 213,35 ở WTI và 17,51 ở MG95), khẳng định tính chất đuôi dày và các cú sốc cực đoan trong chuỗi giá năng lượng.</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2030"/>
        <w:gridCol w:w="2029"/>
        <w:gridCol w:w="2027"/>
        <w:gridCol w:w="2029"/>
        <w:gridCol w:w="2033"/>
      </w:tblGrid>
      <w:tr w:rsidR="00660A15">
        <w:trPr>
          <w:cantSplit/>
          <w:tblHeader/>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b/>
                <w:sz w:val="17"/>
              </w:rPr>
              <w:t>Chuỗi</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ADF mức p</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KPSS mức p</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ADF return p</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Kurtosis</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MG95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0.023</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17.51</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DO 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0.505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14.69</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WTI</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0.033</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213.35</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GPR</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1.52</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DXY</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0.555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4.38</w:t>
            </w:r>
          </w:p>
        </w:tc>
      </w:tr>
    </w:tbl>
    <w:p w:rsidR="00660A15" w:rsidRDefault="00000000" w:rsidP="001A206C">
      <w:pPr>
        <w:pStyle w:val="Caption"/>
        <w:spacing w:before="120" w:after="60"/>
      </w:pPr>
      <w:bookmarkStart w:id="15" w:name="tbl_1"/>
      <w:bookmarkEnd w:id="15"/>
      <w:r>
        <w:rPr>
          <w:sz w:val="17"/>
        </w:rPr>
        <w:t>Bảng 1. Chẩn đoán thống kê rút gọn của các chuỗi chính.</w:t>
      </w:r>
    </w:p>
    <w:p w:rsidR="00660A15" w:rsidRDefault="00000000">
      <w:r>
        <w:t>Cài đặt</w:t>
      </w:r>
      <w:r w:rsidR="0005157D">
        <w:rPr>
          <w:lang w:val="vi-VN"/>
        </w:rPr>
        <w:t xml:space="preserve"> trong bài báo</w:t>
      </w:r>
      <w:r>
        <w:t xml:space="preserve"> sử dụng PyTorch 2.1/Python 3.10, AdamW (lr=10⁻³, weight decay=10⁻⁴), batch size 64, tối đa 100 epoch với early stopping 10. Các expert có hidden size 128, router MLP 64. Phần cứng: Xeon Silver 4216, 512 GB RAM, 4×Tesla T4 16 GB.</w:t>
      </w:r>
    </w:p>
    <w:p w:rsidR="00660A15" w:rsidRPr="001A206C" w:rsidRDefault="00000000">
      <w:pPr>
        <w:pStyle w:val="H2x"/>
        <w:keepNext/>
        <w:rPr>
          <w:lang w:val="vi-VN"/>
        </w:rPr>
      </w:pPr>
      <w:r>
        <w:t>4.3. Baseline và chỉ số</w:t>
      </w:r>
      <w:r w:rsidR="0005157D">
        <w:rPr>
          <w:lang w:val="vi-VN"/>
        </w:rPr>
        <w:t xml:space="preserve"> đánh giá</w:t>
      </w:r>
    </w:p>
    <w:p w:rsidR="00660A15" w:rsidRDefault="00000000">
      <w:pPr>
        <w:spacing w:after="80" w:line="276" w:lineRule="auto"/>
      </w:pPr>
      <w:r>
        <w:t xml:space="preserve">Các baseline </w:t>
      </w:r>
      <w:r w:rsidR="0005157D">
        <w:t>dùng</w:t>
      </w:r>
      <w:r w:rsidR="0005157D">
        <w:rPr>
          <w:lang w:val="vi-VN"/>
        </w:rPr>
        <w:t xml:space="preserve"> để so sánh</w:t>
      </w:r>
      <w:r>
        <w:t xml:space="preserve"> gồm 6 mô hình đại diện tiêu biểu: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Chronos </w:t>
      </w:r>
      <w:hyperlink w:anchor="ref_16" w:history="1">
        <w:r>
          <w:rPr>
            <w:color w:val="1A56DB"/>
          </w:rPr>
          <w:t>[16]</w:t>
        </w:r>
      </w:hyperlink>
      <w:r>
        <w:t xml:space="preserve"> và BiMamba. Các mô hình dùng chung lookback </w:t>
      </w:r>
      <m:oMath>
        <m:r>
          <w:rPr>
            <w:rFonts w:ascii="Cambria Math" w:hAnsi="Cambria Math"/>
          </w:rPr>
          <m:t>L = 30</m:t>
        </m:r>
      </m:oMath>
      <w:r>
        <w:t xml:space="preserve">, quy tắc trễ dữ liệu và giao thức walk-forward expanding. Các chỉ số đánh giá điểm gồm MAE, RMSE, MAPE (%) và 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Độ chính xác xu hướng được tính theo </w:t>
      </w:r>
      <m:oMath>
        <m:r>
          <w:rPr>
            <w:rFonts w:ascii="Cambria Math" w:hAnsi="Cambria Math"/>
          </w:rPr>
          <m:t xml:space="preserve">DA = </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N</m:t>
            </m:r>
          </m:sup>
        </m:sSubSup>
        <m:r>
          <m:rPr>
            <m:scr m:val="double-struck"/>
          </m:rPr>
          <w:rPr>
            <w:rFonts w:ascii="Cambria Math" w:hAnsi="Cambria Math"/>
          </w:rPr>
          <m:t xml:space="preserve"> I[</m:t>
        </m:r>
        <m:r>
          <w:rPr>
            <w:rFonts w:ascii="Cambria Math" w:hAnsi="Cambria Math"/>
          </w:rPr>
          <m:t>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 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t>. Đánh giá phân phối xác suất sử dụng hệ số bao phủ PICP và độ rộng dải chuẩn hóa PINAW.</w:t>
      </w:r>
    </w:p>
    <w:p w:rsidR="00660A15" w:rsidRDefault="00000000">
      <w:pPr>
        <w:pStyle w:val="H1x"/>
        <w:keepNext/>
      </w:pPr>
      <w:r>
        <w:t>5. KẾT QUẢ VÀ THẢO LUẬN</w:t>
      </w:r>
    </w:p>
    <w:p w:rsidR="00660A15" w:rsidRDefault="00000000">
      <w:pPr>
        <w:pStyle w:val="H2x"/>
        <w:keepNext/>
      </w:pPr>
      <w:r>
        <w:t>5.1. Hiệu năng điểm đa horizon</w:t>
      </w:r>
    </w:p>
    <w:p w:rsidR="00660A15" w:rsidRDefault="00000000">
      <w:pPr>
        <w:spacing w:after="80" w:line="276" w:lineRule="auto"/>
      </w:pPr>
      <w:hyperlink w:anchor="fig_2" w:history="1">
        <w:r>
          <w:rPr>
            <w:color w:val="1A56DB"/>
          </w:rPr>
          <w:t>Hình 2</w:t>
        </w:r>
      </w:hyperlink>
      <w:r>
        <w:t xml:space="preserve"> cùng </w:t>
      </w:r>
      <w:hyperlink w:anchor="tbl_2" w:history="1">
        <w:r>
          <w:rPr>
            <w:color w:val="1A56DB"/>
          </w:rPr>
          <w:t>Bảng 2</w:t>
        </w:r>
      </w:hyperlink>
      <w:r>
        <w:t xml:space="preserve"> và </w:t>
      </w:r>
      <w:hyperlink w:anchor="tbl_3" w:history="1">
        <w:r>
          <w:rPr>
            <w:color w:val="1A56DB"/>
          </w:rPr>
          <w:t>Bảng 3</w:t>
        </w:r>
      </w:hyperlink>
      <w:r>
        <w:t xml:space="preserve"> cho thấy GUMNetHet duy trì MAE thấp hơn nhóm baseline được báo cáo ở cả hai sản phẩm, đặc biệt ở H20–H60. Ở H60, MAE của xăng là 4,847 so với 6,933 của baseline tốt nhất (giảm 30,1%); với dầu là 7,066 so với 9,167 (giảm 22,9%). Tuy nhiên,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tại H60 giảm còn 0,155 (xăng) và −0,007 (dầu), vì vậy kết quả dài hạn nên được hiểu là ổn định sai số mức giá tốt hơn baseline, không phải dự báo quỹ đạo dài hạn hoàn hảo.</w:t>
      </w:r>
    </w:p>
    <w:p w:rsidR="00660A15" w:rsidRDefault="00000000">
      <w:pPr>
        <w:spacing w:after="20"/>
        <w:jc w:val="center"/>
      </w:pPr>
      <w:r>
        <w:rPr>
          <w:noProof/>
        </w:rPr>
        <w:lastRenderedPageBreak/>
        <w:drawing>
          <wp:inline distT="0" distB="0" distL="0" distR="0">
            <wp:extent cx="6336000" cy="4026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336000" cy="4026989"/>
                    </a:xfrm>
                    <a:prstGeom prst="rect">
                      <a:avLst/>
                    </a:prstGeom>
                  </pic:spPr>
                </pic:pic>
              </a:graphicData>
            </a:graphic>
          </wp:inline>
        </w:drawing>
      </w:r>
    </w:p>
    <w:p w:rsidR="00660A15" w:rsidRDefault="00000000">
      <w:pPr>
        <w:pStyle w:val="Caption"/>
        <w:spacing w:before="60" w:after="120"/>
      </w:pPr>
      <w:bookmarkStart w:id="16" w:name="fig_2"/>
      <w:bookmarkEnd w:id="16"/>
      <w:r>
        <w:rPr>
          <w:sz w:val="16"/>
        </w:rPr>
        <w:t>Hình 2. Đường cong MAE và R² qua bảy horizon cho MG95 và DO 0.001% (Seed=42).</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449"/>
        <w:gridCol w:w="1449"/>
        <w:gridCol w:w="1450"/>
        <w:gridCol w:w="1450"/>
        <w:gridCol w:w="1450"/>
        <w:gridCol w:w="1450"/>
        <w:gridCol w:w="1450"/>
      </w:tblGrid>
      <w:tr w:rsidR="00660A15">
        <w:trPr>
          <w:cantSplit/>
          <w:tblHeader/>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Mô hình</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MAE</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RMSE</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MAPE (%)</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R²</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DA (%)</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2.7921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5.0249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2.45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0.9727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91.46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2.8834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5.1146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0.9718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61.11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2.9809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5.3918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2.61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0.9686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57.07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3.1192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5.7423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2.74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59.09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3.0237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5.5721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54.55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3.3320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6.2491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0.9578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54.55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3.0436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5.3617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0.9690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61.62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4.6691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8.4898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0.9218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91.37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4.8262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8.3000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0.9253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5.0313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8.7446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40.82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4.9776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8.8658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0.9147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46.43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5.0211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9.2494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0.9072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44.39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5.4216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10.0286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0.8909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40.82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5.1084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8.7883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48.98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4.8892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8.2562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4.37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0.9264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90.95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5.5400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9.0953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0.9107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55.05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5.5776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9.1791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52.53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lastRenderedPageBreak/>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5.6939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9.6105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0.9003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38.89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5.8835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10.0733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45.45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6.5439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11.2085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0.8644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53.54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5.5504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9.1791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50.00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4.0695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7.6785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3.76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0.9142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95.56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5.0377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8.9709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0.8828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44.18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4.7339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8.5689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4.32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0.8931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50.34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4.6936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8.6611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4.25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0.8908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49.66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4.5978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8.2653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47.26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5.2500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9.1154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0.8790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46.92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4.8999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8.8162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0.8868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50.34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4.3970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8.9788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4.09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0.8522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42.24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4.8548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9.8175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0.8250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48.59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4.9325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9.9338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0.8208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49.87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5.1042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10.1940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0.8113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50.13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4.9854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9.9668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0.8196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44.60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5.0603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10.1585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0.8126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48.97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4.9070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9.9822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52.57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5.4115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10.3617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5.37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0.7262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91.65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5.8312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11.0895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0.6965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48.66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6.1280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11.4250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5.99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0.6779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44.15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7.1888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12.6175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0.6072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46.49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6.5672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12.5417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0.6119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48.66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6.6974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12.1714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6.43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0.6344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40.47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5.9577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11.3518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0.6820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44.48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4.8470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10.4474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5.11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0.1552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27.95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7.3983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14.1515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-0.1771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47.86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6.9327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13.6722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-0.0987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8.7212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16.0547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9.04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-0.5150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46.28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6.9707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13.7963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7.13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-0.1187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46.63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7.5070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14.4158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-0.2215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48.90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6.9722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13.8894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-0.1339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46.16</w:t>
            </w:r>
          </w:p>
        </w:tc>
      </w:tr>
    </w:tbl>
    <w:p w:rsidR="00660A15" w:rsidRDefault="00000000" w:rsidP="001A206C">
      <w:pPr>
        <w:pStyle w:val="Caption"/>
        <w:spacing w:before="120" w:after="60"/>
      </w:pPr>
      <w:bookmarkStart w:id="17" w:name="tbl_2"/>
      <w:bookmarkEnd w:id="17"/>
      <w:r>
        <w:rPr>
          <w:sz w:val="17"/>
        </w:rPr>
        <w:lastRenderedPageBreak/>
        <w:t>Bảng 2. Kết quả chi tiết trên MG95 (Seed=42). MAE/RMSE tính theo USD/thùng; giá trị DA là phần trăm.</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449"/>
        <w:gridCol w:w="1449"/>
        <w:gridCol w:w="1450"/>
        <w:gridCol w:w="1450"/>
        <w:gridCol w:w="1450"/>
        <w:gridCol w:w="1450"/>
        <w:gridCol w:w="1450"/>
      </w:tblGrid>
      <w:tr w:rsidR="00660A15">
        <w:trPr>
          <w:cantSplit/>
          <w:tblHeader/>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Mô hình</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MAE</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RMSE</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MAPE (%)</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R²</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DA (%)</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5.6023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11.3820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3.24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0.9622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84.92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6.1468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11.8728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0.9588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62.12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6.1601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12.0048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0.9579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57.07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6.0768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11.8132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0.9593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58.08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6.0346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11.6526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3.51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0.9604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55.05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6.1218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11.7740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0.9595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60.10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8.8536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17.0380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5.35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0.9156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76.65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9.0363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17.6157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0.9098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48.47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10.0366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19.3143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5.98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0.8916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46.43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9.5007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17.9989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5.69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9.7697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18.8569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0.8967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44.90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9.4605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18.4546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5.61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45.92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9.2159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16.2954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0.9225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76.88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10.6900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18.1687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52.02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10.0784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17.0064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0.9156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52.53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11.5665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19.6444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0.8873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47.98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11.4410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19.0864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6.83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41.41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10.5636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17.5114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53.54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9.6578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18.3317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6.46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0.8733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83.28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11.0491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21.2867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0.8292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50.68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11.0220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22.1113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0.8157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57.88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11.7217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23.1415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0.7981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51.37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10.3087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20.3122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6.79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0.8444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47.26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11.4008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23.0828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0.7991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54.79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9.1926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18.3690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6.16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0.8433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32.29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9.7691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19.9689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0.8145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47.30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9.8507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20.6902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0.8008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9.6920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19.9194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47.04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9.8931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20.9276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0.7962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48.71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9.7097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19.8244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46.53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9.4562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20.7135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6.85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0.7192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71.11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lastRenderedPageBreak/>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12.6691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27.0410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0.5358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47.99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12.4936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26.8776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8.81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0.5414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48.33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13.4284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28.6245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9.59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0.4799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47.16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12.6621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27.5688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0.5175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12.2271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25.8642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0.5753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49.33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7.0664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18.0187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6.41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-0.0072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19.10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10.1792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24.4469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-0.1894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50.21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9.3447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23.8920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7.82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-0.1360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49.64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9.5859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24.3673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8.01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-0.1817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47.89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9.7714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24.0682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8.26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-0.1528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48.21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9.1668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23.6800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7.63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-0.1160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47.80</w:t>
            </w:r>
          </w:p>
        </w:tc>
      </w:tr>
    </w:tbl>
    <w:p w:rsidR="00660A15" w:rsidRDefault="00000000" w:rsidP="001A206C">
      <w:pPr>
        <w:pStyle w:val="Caption"/>
        <w:spacing w:before="120" w:after="60"/>
      </w:pPr>
      <w:bookmarkStart w:id="18" w:name="tbl_3"/>
      <w:bookmarkEnd w:id="18"/>
      <w:r>
        <w:rPr>
          <w:sz w:val="17"/>
        </w:rPr>
        <w:t xml:space="preserve">Bảng 3. Kết quả chi tiết trên DO 0.001% (Seed=42). </w:t>
      </w:r>
    </w:p>
    <w:p w:rsidR="00660A15" w:rsidRDefault="00000000">
      <w:pPr>
        <w:pStyle w:val="H2x"/>
        <w:keepNext/>
      </w:pPr>
      <w:r>
        <w:t>5.2. Độ chính xác xu hướng</w:t>
      </w:r>
    </w:p>
    <w:p w:rsidR="00660A15" w:rsidRDefault="00000000">
      <w:pPr>
        <w:spacing w:after="80" w:line="276" w:lineRule="auto"/>
      </w:pPr>
      <w:r>
        <w:t xml:space="preserve">Độ chính xác hướng trong </w:t>
      </w:r>
      <w:hyperlink w:anchor="fig_3" w:history="1">
        <w:r>
          <w:rPr>
            <w:color w:val="1A56DB"/>
          </w:rPr>
          <w:t>Hình 3</w:t>
        </w:r>
      </w:hyperlink>
      <w:r>
        <w:t xml:space="preserve"> cho thấy một hành vi khác với sai số mức. Với xăng (</w:t>
      </w:r>
      <w:hyperlink w:anchor="tbl_2" w:history="1">
        <w:r>
          <w:rPr>
            <w:color w:val="1A56DB"/>
          </w:rPr>
          <w:t>Bảng 2</w:t>
        </w:r>
      </w:hyperlink>
      <w:r>
        <w:t>), GUMNetHet đạt 91,46%, 91,37%, 90,95% và 95,56% ở H1, H3, H5, H7; với dầu (</w:t>
      </w:r>
      <w:hyperlink w:anchor="tbl_3" w:history="1">
        <w:r>
          <w:rPr>
            <w:color w:val="1A56DB"/>
          </w:rPr>
          <w:t>Bảng 3</w:t>
        </w:r>
      </w:hyperlink>
      <w:r>
        <w:t>) tương ứng là 84,92%, 76,65%, 76,88% và 83,28%. Ở H20, DA vẫn cao (91,65% xăng; 71,11% dầu). Ngược lại, H10 và H60 giảm dưới 50%, lần lượt 42,24%/27,95% cho xăng và 32,29%/19,10% cho dầu. Do đó, GUMNetHet phù hợp hơn như mô hình dự báo mức và biên bất định ở horizon dài, thay vì công cụ sinh tín hiệu hướng.</w:t>
      </w:r>
    </w:p>
    <w:p w:rsidR="00660A15" w:rsidRDefault="00000000">
      <w:pPr>
        <w:spacing w:after="20"/>
        <w:jc w:val="center"/>
      </w:pPr>
      <w:r>
        <w:rPr>
          <w:noProof/>
        </w:rPr>
        <w:drawing>
          <wp:inline distT="0" distB="0" distL="0" distR="0">
            <wp:extent cx="6263999" cy="2166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png"/>
                    <pic:cNvPicPr/>
                  </pic:nvPicPr>
                  <pic:blipFill>
                    <a:blip r:embed="rId10"/>
                    <a:stretch>
                      <a:fillRect/>
                    </a:stretch>
                  </pic:blipFill>
                  <pic:spPr>
                    <a:xfrm>
                      <a:off x="0" y="0"/>
                      <a:ext cx="6263999" cy="2166792"/>
                    </a:xfrm>
                    <a:prstGeom prst="rect">
                      <a:avLst/>
                    </a:prstGeom>
                  </pic:spPr>
                </pic:pic>
              </a:graphicData>
            </a:graphic>
          </wp:inline>
        </w:drawing>
      </w:r>
    </w:p>
    <w:p w:rsidR="00660A15" w:rsidRDefault="00000000">
      <w:pPr>
        <w:pStyle w:val="Caption"/>
        <w:spacing w:before="60" w:after="120"/>
      </w:pPr>
      <w:bookmarkStart w:id="19" w:name="fig_3"/>
      <w:bookmarkEnd w:id="19"/>
      <w:r>
        <w:rPr>
          <w:sz w:val="16"/>
        </w:rPr>
        <w:t>Hình 3. Directional accuracy (DA%) của GUMNetHet và các baseline qua H1–H60 cho xăng và dầu.</w:t>
      </w:r>
    </w:p>
    <w:p w:rsidR="00660A15" w:rsidRDefault="00000000">
      <w:pPr>
        <w:pStyle w:val="H2x"/>
        <w:keepNext/>
      </w:pPr>
      <w:r>
        <w:t>5.3. Dự báo xác suất, ablation và hành vi router</w:t>
      </w:r>
    </w:p>
    <w:p w:rsidR="00660A15" w:rsidRDefault="00000000">
      <w:pPr>
        <w:spacing w:after="80" w:line="276" w:lineRule="auto"/>
      </w:pPr>
      <w:r>
        <w:t xml:space="preserve">Khoảng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 xml:space="preserve"> đạt PICP=82,4% so với danh định 80% và PINAW=0,142. </w:t>
      </w:r>
      <w:hyperlink w:anchor="fig_4" w:history="1">
        <w:r>
          <w:rPr>
            <w:color w:val="1A56DB"/>
          </w:rPr>
          <w:t>Hình 4</w:t>
        </w:r>
      </w:hyperlink>
      <w:r>
        <w:t xml:space="preserve"> cho thấy biên bất định mở rộng khi biến động tăng. Ablation trong </w:t>
      </w:r>
      <w:hyperlink w:anchor="tbl_4" w:history="1">
        <w:r>
          <w:rPr>
            <w:color w:val="1A56DB"/>
          </w:rPr>
          <w:t>Bảng 4</w:t>
        </w:r>
      </w:hyperlink>
      <w:r>
        <w:t xml:space="preserve"> cho thấy thay Wav-KAN bằng MLP gây suy giảm lớn nhất trong các biến thể expert; router đồng nhất cũng làm MAE tăng đáng kể, củng cố vai trò của chuyên môn hóa và định tuyến thích ứng.</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2041"/>
        <w:gridCol w:w="2028"/>
        <w:gridCol w:w="2028"/>
        <w:gridCol w:w="2027"/>
        <w:gridCol w:w="2024"/>
      </w:tblGrid>
      <w:tr w:rsidR="00660A15">
        <w:trPr>
          <w:cantSplit/>
          <w:tblHeader/>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b/>
                <w:sz w:val="17"/>
              </w:rPr>
              <w:t>Biến thể</w:t>
            </w:r>
          </w:p>
        </w:tc>
        <w:tc>
          <w:tcPr>
            <w:tcW w:w="2075" w:type="dxa"/>
            <w:shd w:val="clear" w:color="auto" w:fill="FFFFFF"/>
            <w:tcMar>
              <w:top w:w="80" w:type="dxa"/>
              <w:left w:w="35" w:type="dxa"/>
              <w:bottom w:w="80" w:type="dxa"/>
              <w:right w:w="35" w:type="dxa"/>
            </w:tcMar>
            <w:vAlign w:val="center"/>
          </w:tcPr>
          <w:p w:rsidR="00660A15" w:rsidRDefault="00A55067">
            <w:pPr>
              <w:spacing w:before="40" w:line="252" w:lineRule="auto"/>
              <w:jc w:val="center"/>
            </w:pPr>
            <w:r>
              <w:rPr>
                <w:b/>
                <w:sz w:val="17"/>
              </w:rPr>
              <w:t>MG</w:t>
            </w:r>
            <w:r>
              <w:rPr>
                <w:b/>
                <w:sz w:val="17"/>
                <w:lang w:val="vi-VN"/>
              </w:rPr>
              <w:t>95</w:t>
            </w:r>
            <w:r w:rsidR="00000000">
              <w:rPr>
                <w:b/>
                <w:sz w:val="17"/>
              </w:rPr>
              <w:t>-H3 MAE</w:t>
            </w:r>
          </w:p>
        </w:tc>
        <w:tc>
          <w:tcPr>
            <w:tcW w:w="2075" w:type="dxa"/>
            <w:shd w:val="clear" w:color="auto" w:fill="FFFFFF"/>
            <w:tcMar>
              <w:top w:w="80" w:type="dxa"/>
              <w:left w:w="35" w:type="dxa"/>
              <w:bottom w:w="80" w:type="dxa"/>
              <w:right w:w="35" w:type="dxa"/>
            </w:tcMar>
            <w:vAlign w:val="center"/>
          </w:tcPr>
          <w:p w:rsidR="00660A15" w:rsidRDefault="00A55067">
            <w:pPr>
              <w:spacing w:before="40" w:line="252" w:lineRule="auto"/>
              <w:jc w:val="center"/>
            </w:pPr>
            <w:r>
              <w:rPr>
                <w:b/>
                <w:sz w:val="17"/>
              </w:rPr>
              <w:t>MG</w:t>
            </w:r>
            <w:r>
              <w:rPr>
                <w:b/>
                <w:sz w:val="17"/>
                <w:lang w:val="vi-VN"/>
              </w:rPr>
              <w:t>95</w:t>
            </w:r>
            <w:r w:rsidR="00000000">
              <w:rPr>
                <w:b/>
                <w:sz w:val="17"/>
              </w:rPr>
              <w:t>-H3 R²</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D</w:t>
            </w:r>
            <w:r w:rsidR="00A55067">
              <w:rPr>
                <w:b/>
                <w:sz w:val="17"/>
              </w:rPr>
              <w:t>O</w:t>
            </w:r>
            <w:r>
              <w:rPr>
                <w:b/>
                <w:sz w:val="17"/>
              </w:rPr>
              <w:t>-H5 MAE</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D</w:t>
            </w:r>
            <w:r w:rsidR="00A55067">
              <w:rPr>
                <w:b/>
                <w:sz w:val="17"/>
              </w:rPr>
              <w:t>O</w:t>
            </w:r>
            <w:r>
              <w:rPr>
                <w:b/>
                <w:sz w:val="17"/>
              </w:rPr>
              <w:t>-H5 R²</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b/>
                <w:sz w:val="17"/>
              </w:rPr>
              <w:t>GUMNetHet đầy đủ</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4.669</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0.922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9.216</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0.923</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Wav-KAN→MLP</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5.142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0.885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10.852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0.865</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−GRU</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4.985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0.901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10.124</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0.891</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CNN chỉ k=3</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4.892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0.910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9.854</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0.904</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−GPR</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4.821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0.912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9.980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0.898</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lastRenderedPageBreak/>
              <w:t>Router đồng nhất</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5.012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0.895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10.450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0.879</w:t>
            </w:r>
          </w:p>
        </w:tc>
      </w:tr>
    </w:tbl>
    <w:p w:rsidR="00660A15" w:rsidRDefault="00000000" w:rsidP="001A206C">
      <w:pPr>
        <w:pStyle w:val="Caption"/>
        <w:spacing w:before="120" w:after="60"/>
      </w:pPr>
      <w:bookmarkStart w:id="20" w:name="tbl_4"/>
      <w:bookmarkEnd w:id="20"/>
      <w:r>
        <w:rPr>
          <w:sz w:val="17"/>
        </w:rPr>
        <w:t>Bảng 4. Ablation rút gọn của GUMNetHet (Seed=42).</w:t>
      </w:r>
    </w:p>
    <w:p w:rsidR="00660A15" w:rsidRDefault="0005157D">
      <w:pPr>
        <w:spacing w:after="80" w:line="276" w:lineRule="auto"/>
      </w:pPr>
      <w:r>
        <w:t>Kết</w:t>
      </w:r>
      <w:r>
        <w:rPr>
          <w:lang w:val="vi-VN"/>
        </w:rPr>
        <w:t xml:space="preserve"> quả thực nghiệm</w:t>
      </w:r>
      <w:r w:rsidR="00000000">
        <w:t xml:space="preserve"> ghi nhận rằng loại bỏ residual scaling làm MAE tăng khoảng 8,5%/6,3% ở H20 và 14,1%/11,8% ở H60 cho xăng/dầu. Phân tích router trong </w:t>
      </w:r>
      <w:hyperlink w:anchor="fig_4" w:history="1">
        <w:r w:rsidR="00000000">
          <w:rPr>
            <w:color w:val="1A56DB"/>
          </w:rPr>
          <w:t>Hình 4</w:t>
        </w:r>
      </w:hyperlink>
      <w:r w:rsidR="00000000">
        <w:t xml:space="preserve"> cho thấy ở GPR thấp và horizon ngắn, CNN có trọng số trung bình khoảng 0,48; khi GPR vượt phân vị 90%, trọng số Wav-KAN tăng từ khoảng 0,29 lên 0,61 ở horizon trung–dài và CNN giảm xuống khoảng 0,21. Các kết quả này cho thấy router thực sự thay đổi chế độ thay vì chỉ trung bình hóa đầu ra.</w:t>
      </w:r>
    </w:p>
    <w:p w:rsidR="00660A15" w:rsidRDefault="00000000">
      <w:pPr>
        <w:spacing w:after="20"/>
        <w:jc w:val="center"/>
      </w:pPr>
      <w:r>
        <w:rPr>
          <w:noProof/>
        </w:rPr>
        <w:drawing>
          <wp:inline distT="0" distB="0" distL="0" distR="0">
            <wp:extent cx="6083999" cy="4661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routing.png"/>
                    <pic:cNvPicPr/>
                  </pic:nvPicPr>
                  <pic:blipFill>
                    <a:blip r:embed="rId11"/>
                    <a:stretch>
                      <a:fillRect/>
                    </a:stretch>
                  </pic:blipFill>
                  <pic:spPr>
                    <a:xfrm>
                      <a:off x="0" y="0"/>
                      <a:ext cx="6083999" cy="4661019"/>
                    </a:xfrm>
                    <a:prstGeom prst="rect">
                      <a:avLst/>
                    </a:prstGeom>
                  </pic:spPr>
                </pic:pic>
              </a:graphicData>
            </a:graphic>
          </wp:inline>
        </w:drawing>
      </w:r>
    </w:p>
    <w:p w:rsidR="00660A15" w:rsidRDefault="00000000">
      <w:pPr>
        <w:pStyle w:val="Caption"/>
        <w:spacing w:before="60" w:after="120"/>
      </w:pPr>
      <w:bookmarkStart w:id="21" w:name="fig_4"/>
      <w:bookmarkEnd w:id="21"/>
      <w:r>
        <w:rPr>
          <w:sz w:val="16"/>
        </w:rPr>
        <w:t>Hình 4. Trên: fan chart đa phân vị dưới biến động mạnh. Dưới: trọng số router trong chế độ GPR thấp và GPR cao.</w:t>
      </w:r>
    </w:p>
    <w:p w:rsidR="00660A15" w:rsidRDefault="00000000">
      <w:pPr>
        <w:pStyle w:val="H1x"/>
        <w:keepNext/>
      </w:pPr>
      <w:bookmarkStart w:id="22" w:name="tbl_5"/>
      <w:bookmarkEnd w:id="22"/>
      <w:r>
        <w:t>7. KẾT LUẬN</w:t>
      </w:r>
    </w:p>
    <w:p w:rsidR="00663731" w:rsidRDefault="00663731" w:rsidP="00663731">
      <w:pPr>
        <w:spacing w:after="80" w:line="276" w:lineRule="auto"/>
      </w:pPr>
      <w:r>
        <w:t>Bài báo đề xuất GUMNetHet, một kiến trúc mixture-of-experts dị thể cho dự báo xác suất đa horizon giá xăng dầu thành phẩm. Mô hình kết hợp CNN-1D đa tỷ lệ, GRU-Attention và Wavelet-KAN thông qua bộ định tuyến nhận biết horizon, cùng đầu ra đa phân vị và residual scaling nhằm cải thiện độ ổn định khi dự báo xa.</w:t>
      </w:r>
    </w:p>
    <w:p w:rsidR="00663731" w:rsidRDefault="00663731" w:rsidP="00663731">
      <w:pPr>
        <w:spacing w:after="80" w:line="276" w:lineRule="auto"/>
      </w:pPr>
      <w:r>
        <w:t>Thực nghiệm expanding walk-forward trên MG95 và DO 0.001% cho thấy GUMNetHet đạt MAE thấp nhất trong nhóm baseline được đánh giá ở toàn bộ H1–H60, với mức giảm MAE tại H60 đạt 30,1% cho MG95 và 22,9% cho DO 0.001%. Kết quả ablation và phân tích trọng số router cho thấy phân vùng đặc trưng, Wavelet-KAN và định tuyến thích ứng đều đóng góp đáng kể vào hiệu năng. Tuy nhiên, sự suy giảm của R² và directional accuracy ở các horizon dài cho thấy ưu thế của mô hình chủ yếu nằm ở độ ổn định sai số mức giá và định lượng bất định, không nên diễn giải như khả năng dự báo hướng dài hạn đáng tin cậy.</w:t>
      </w:r>
    </w:p>
    <w:p w:rsidR="00660A15" w:rsidRDefault="00663731" w:rsidP="00663731">
      <w:pPr>
        <w:spacing w:after="80" w:line="276" w:lineRule="auto"/>
      </w:pPr>
      <w:r>
        <w:t>Trong tương lai, nghiên cứu sẽ tập trung vào đánh giá multi-seed, bổ sung probabilistic baselines, kiểm định thống kê cho dự báo multi-step và tích hợp biểu diễn tin tức địa chính trị theo thời gian thực.</w:t>
      </w:r>
    </w:p>
    <w:p w:rsidR="00660A15" w:rsidRDefault="00000000">
      <w:pPr>
        <w:pStyle w:val="H1x"/>
        <w:keepNext/>
      </w:pPr>
      <w:r>
        <w:t>TÀI LIỆU THAM KHẢO</w:t>
      </w:r>
    </w:p>
    <w:p w:rsidR="00660A15" w:rsidRDefault="00000000">
      <w:pPr>
        <w:pStyle w:val="Refs"/>
        <w:spacing w:after="30"/>
      </w:pPr>
      <w:r>
        <w:t>[1] D. Caldara and M. Iacoviello, "Measuring geopolitical risk," American Economic Review, vol. 112, no. 4, pp. 1194–1225, 2022.</w:t>
      </w:r>
    </w:p>
    <w:p w:rsidR="00660A15" w:rsidRDefault="00000000">
      <w:pPr>
        <w:pStyle w:val="Refs"/>
        <w:spacing w:after="30"/>
      </w:pPr>
      <w:r>
        <w:t>[2] L. Kilian, "Not all oil price shocks are alike: Disentangling demand and supply shocks in the crude oil market," American Economic Review, vol. 99, no. 3, pp. 1053–1069, 2009.</w:t>
      </w:r>
    </w:p>
    <w:p w:rsidR="00660A15" w:rsidRDefault="00000000">
      <w:pPr>
        <w:pStyle w:val="Refs"/>
        <w:spacing w:after="30"/>
      </w:pPr>
      <w:r>
        <w:t>[3] C. Baumeister and L. Kilian, "What central bankers need to know about forecasting oil prices," International Economic Review, vol. 57, no. 3, pp. 869–896, 2016.</w:t>
      </w:r>
    </w:p>
    <w:p w:rsidR="00660A15" w:rsidRDefault="00000000">
      <w:pPr>
        <w:pStyle w:val="Refs"/>
        <w:spacing w:after="30"/>
      </w:pPr>
      <w:r>
        <w:t>[4] D. A. Dickey and W. A. Fuller, "Distribution of the estimators for autoregressive time series with a unit root," Journal of the American Statistical Association, vol. 74, no. 366a, pp. 427–431, 1979.</w:t>
      </w:r>
    </w:p>
    <w:p w:rsidR="00660A15" w:rsidRDefault="00000000">
      <w:pPr>
        <w:pStyle w:val="Refs"/>
        <w:spacing w:after="30"/>
      </w:pPr>
      <w:r>
        <w:t>[5] F. X. Diebold and R. S. Mariano, "Comparing predictive accuracy," Journal of Business &amp; Economic Statistics, vol. 13, no. 3, pp. 253–263, 1995.</w:t>
      </w:r>
    </w:p>
    <w:p w:rsidR="00660A15" w:rsidRDefault="00000000">
      <w:pPr>
        <w:pStyle w:val="Refs"/>
        <w:spacing w:after="30"/>
      </w:pPr>
      <w:r>
        <w:lastRenderedPageBreak/>
        <w:t>[6] T. Gneiting and A. E. Raftery, "Strictly proper scoring rules, prediction, and estimation," Journal of the American Statistical Association, vol. 102, no. 477, pp. 359–378, 2007.</w:t>
      </w:r>
    </w:p>
    <w:p w:rsidR="00660A15" w:rsidRDefault="00000000">
      <w:pPr>
        <w:pStyle w:val="Refs"/>
        <w:spacing w:after="30"/>
      </w:pPr>
      <w:r>
        <w:t>[7] R. J. Hyndman and A. B. Koehler, "Another look at measures of forecast accuracy," International Journal of Forecasting, vol. 22, no. 4, pp. 679–688, 2006.</w:t>
      </w:r>
    </w:p>
    <w:p w:rsidR="00660A15" w:rsidRDefault="00000000">
      <w:pPr>
        <w:pStyle w:val="Refs"/>
        <w:spacing w:after="30"/>
      </w:pPr>
      <w:r>
        <w:t>[8] Y. Nie, N. H. Nguyen, P. Sinthong, and J. Kalagnanam, "A time series is worth 64 words: Long-term forecasting with transformers," in Proc. ICLR, 2023.</w:t>
      </w:r>
    </w:p>
    <w:p w:rsidR="00660A15" w:rsidRDefault="00000000">
      <w:pPr>
        <w:pStyle w:val="Refs"/>
        <w:spacing w:after="30"/>
      </w:pPr>
      <w:r>
        <w:t>[9] Y. Liu, T. Hu, H. Zhang, H. Wu, S. Wang, L. Ma, and M. Long, "iTransformer: Inverted transformers are effective for time series forecasting," in Proc. ICLR, 2024.</w:t>
      </w:r>
    </w:p>
    <w:p w:rsidR="00660A15" w:rsidRDefault="00000000">
      <w:pPr>
        <w:pStyle w:val="Refs"/>
        <w:spacing w:after="30"/>
      </w:pPr>
      <w:r>
        <w:t>[10] H. Wu, T. Hu, Y. Liu, H. Zhou, J. Wang, and M. Long, "TimesNet: Temporal 2D-variation modeling for general time series analysis," in Proc. ICLR, 2023.</w:t>
      </w:r>
    </w:p>
    <w:p w:rsidR="00660A15" w:rsidRDefault="00000000">
      <w:pPr>
        <w:pStyle w:val="Refs"/>
        <w:spacing w:after="30"/>
      </w:pPr>
      <w:r>
        <w:t>[11] A. Zeng, M. Chen, L. Zhang, and Q. Xu, "Are transformers effective for time series forecasting?" in Proc. AAAI, vol. 37, no. 9, 2023, pp. 11121–11128.</w:t>
      </w:r>
    </w:p>
    <w:p w:rsidR="00660A15" w:rsidRDefault="00000000">
      <w:pPr>
        <w:pStyle w:val="Refs"/>
        <w:spacing w:after="30"/>
      </w:pPr>
      <w:r>
        <w:t>[12] B. Lim, S. Ö. Arık, N. Loeff, and T. Pfister, "Temporal Fusion Transformers for interpretable multi-horizon time series forecasting," International Journal of Forecasting, vol. 37, no. 4, pp. 1748–1764, 2021.</w:t>
      </w:r>
    </w:p>
    <w:p w:rsidR="00660A15" w:rsidRDefault="00000000">
      <w:pPr>
        <w:pStyle w:val="Refs"/>
        <w:spacing w:after="30"/>
      </w:pPr>
      <w:r>
        <w:t>[13] B. N. Oreshkin, D. Carpov, N. Chapados, and Y. Bengio, "N-BEATS: Neural basis expansion analysis for interpretable time series forecasting," in Proc. ICLR, 2020.</w:t>
      </w:r>
    </w:p>
    <w:p w:rsidR="00660A15" w:rsidRDefault="00000000">
      <w:pPr>
        <w:pStyle w:val="Refs"/>
        <w:spacing w:after="30"/>
      </w:pPr>
      <w:r>
        <w:t>[14] C. Challu, K. G. Olivares, B. N. Oreshkin, F. Garza, M. Mergenthaler-Canseco, and A. Dubrawski, "N-HiTS: Neural hierarchical interpolation for time series forecasting," in Proc. AAAI, vol. 37, no. 6, 2023, pp. 6989–6997.</w:t>
      </w:r>
    </w:p>
    <w:p w:rsidR="00660A15" w:rsidRDefault="00000000">
      <w:pPr>
        <w:pStyle w:val="Refs"/>
        <w:spacing w:after="30"/>
      </w:pPr>
      <w:r>
        <w:t>[15] A. Gu and T. Dao, "Mamba: Linear-time sequence modeling with selective state spaces," arXiv preprint arXiv:2312.00752, 2023.</w:t>
      </w:r>
    </w:p>
    <w:p w:rsidR="00660A15" w:rsidRDefault="00000000">
      <w:pPr>
        <w:pStyle w:val="Refs"/>
        <w:spacing w:after="30"/>
      </w:pPr>
      <w:r>
        <w:t>[16] A. F. Ansari et al., "Chronos: Learning the language of time series," Transactions on Machine Learning Research, 2024.</w:t>
      </w:r>
    </w:p>
    <w:p w:rsidR="00660A15" w:rsidRDefault="00000000">
      <w:pPr>
        <w:pStyle w:val="Refs"/>
        <w:spacing w:after="30"/>
      </w:pPr>
      <w:r>
        <w:t>[17] A. Das, W. Kong, R. Sen, and Y. Zhou, "A decoder-only foundation model for time-series forecasting," in Proc. ICML, 2024.</w:t>
      </w:r>
    </w:p>
    <w:p w:rsidR="00660A15" w:rsidRDefault="00000000">
      <w:pPr>
        <w:pStyle w:val="Refs"/>
        <w:spacing w:after="30"/>
      </w:pPr>
      <w:r>
        <w:t>[18] G. Woo, C. Liu, A. Kumar, C. Xiong, S. Savarese, and D. Sahoo, "Unified training of universal time series forecasting transformers," in Proc. ICML, 2024.</w:t>
      </w:r>
    </w:p>
    <w:p w:rsidR="00660A15" w:rsidRDefault="00000000">
      <w:pPr>
        <w:pStyle w:val="Refs"/>
        <w:spacing w:after="30"/>
      </w:pPr>
      <w:r>
        <w:t>[19] V. Ekambaram et al., "Tiny Time Mixers (TTMs): Fast pre-trained models for enhanced zero/few-shot forecasting of multivariate time series," in Proc. NeurIPS, 2024.</w:t>
      </w:r>
    </w:p>
    <w:p w:rsidR="00660A15" w:rsidRDefault="00000000">
      <w:pPr>
        <w:pStyle w:val="Refs"/>
        <w:spacing w:after="30"/>
      </w:pPr>
      <w:r>
        <w:t>[20] R. A. Jacobs, M. I. Jordan, S. J. Nowlan, and G. E. Hinton, "Adaptive mixtures of local experts," Neural Computation, vol. 3, no. 1, pp. 79–87, 1991.</w:t>
      </w:r>
    </w:p>
    <w:p w:rsidR="00660A15" w:rsidRDefault="00000000">
      <w:pPr>
        <w:pStyle w:val="Refs"/>
        <w:spacing w:after="30"/>
      </w:pPr>
      <w:r>
        <w:t>[21] N. Shazeer et al., "Outrageously large neural networks: The sparsely-gated mixture-of-experts layer," in Proc. ICLR, 2017.</w:t>
      </w:r>
    </w:p>
    <w:p w:rsidR="00660A15" w:rsidRDefault="00000000">
      <w:pPr>
        <w:pStyle w:val="Refs"/>
        <w:spacing w:after="30"/>
      </w:pPr>
      <w:r>
        <w:t>[22] W. Fedus, B. Zoph, and N. Shazeer, "Switch Transformers: Scaling to trillion parameter models with simple and efficient sparsity," Journal of Machine Learning Research, vol. 23, no. 120, pp. 1–39, 2022.</w:t>
      </w:r>
    </w:p>
    <w:p w:rsidR="00660A15" w:rsidRDefault="00000000">
      <w:pPr>
        <w:pStyle w:val="Refs"/>
        <w:spacing w:after="30"/>
      </w:pPr>
      <w:r>
        <w:t>[23] Z. Liu et al., "KAN: Kolmogorov–Arnold Networks," arXiv preprint arXiv:2404.19756, 2024.</w:t>
      </w:r>
    </w:p>
    <w:p w:rsidR="00660A15" w:rsidRDefault="00000000">
      <w:pPr>
        <w:pStyle w:val="Refs"/>
        <w:spacing w:after="30"/>
      </w:pPr>
      <w:r>
        <w:t>[24] Z. Bozorgasl and H. Chen, "Wav-KAN: Wavelet Kolmogorov–Arnold networks," arXiv preprint arXiv:2405.12832, 2024.</w:t>
      </w:r>
    </w:p>
    <w:p w:rsidR="00660A15" w:rsidRDefault="00000000">
      <w:pPr>
        <w:pStyle w:val="Refs"/>
        <w:spacing w:after="30"/>
      </w:pPr>
      <w:r>
        <w:t>[25] I. Daubechies, Ten Lectures on Wavelets. Philadelphia, PA, USA: SIAM, 1992.</w:t>
      </w:r>
    </w:p>
    <w:p w:rsidR="00660A15" w:rsidRDefault="00000000">
      <w:pPr>
        <w:pStyle w:val="Refs"/>
        <w:spacing w:after="30"/>
      </w:pPr>
      <w:r>
        <w:t>[26] X. Shi et al., "Time-MoE: Billion-scale time series foundation models with mixture of experts," in Proc. ICLR, 2025.</w:t>
      </w:r>
    </w:p>
    <w:p w:rsidR="00660A15" w:rsidRDefault="00000000">
      <w:pPr>
        <w:pStyle w:val="Refs"/>
        <w:spacing w:after="30"/>
      </w:pPr>
      <w:r>
        <w:t>[27] S. Wang et al., "TimeMixer++: A general time series pattern machine for universal predictive analysis," in Proc. ICLR, 2025.</w:t>
      </w:r>
    </w:p>
    <w:p w:rsidR="00660A15" w:rsidRDefault="00000000">
      <w:pPr>
        <w:pStyle w:val="Refs"/>
        <w:spacing w:after="30"/>
      </w:pPr>
      <w:r>
        <w:t>[28] M. D. Wilkinson et al., "The FAIR Guiding Principles for scientific data management and stewardship," Scientific Data, vol. 3, art. 160018, 2016.</w:t>
      </w:r>
    </w:p>
    <w:sectPr w:rsidR="00660A15" w:rsidSect="00034616">
      <w:footerReference w:type="default" r:id="rId12"/>
      <w:pgSz w:w="11906" w:h="16838"/>
      <w:pgMar w:top="879" w:right="879" w:bottom="879"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0CE0" w:rsidRDefault="00AA0CE0">
      <w:pPr>
        <w:spacing w:after="0"/>
      </w:pPr>
      <w:r>
        <w:separator/>
      </w:r>
    </w:p>
  </w:endnote>
  <w:endnote w:type="continuationSeparator" w:id="0">
    <w:p w:rsidR="00AA0CE0" w:rsidRDefault="00AA0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0A15" w:rsidRDefault="00660A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0CE0" w:rsidRDefault="00AA0CE0">
      <w:pPr>
        <w:spacing w:after="0"/>
      </w:pPr>
      <w:r>
        <w:separator/>
      </w:r>
    </w:p>
  </w:footnote>
  <w:footnote w:type="continuationSeparator" w:id="0">
    <w:p w:rsidR="00AA0CE0" w:rsidRDefault="00AA0C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296033">
    <w:abstractNumId w:val="8"/>
  </w:num>
  <w:num w:numId="2" w16cid:durableId="1171219756">
    <w:abstractNumId w:val="6"/>
  </w:num>
  <w:num w:numId="3" w16cid:durableId="1584534330">
    <w:abstractNumId w:val="5"/>
  </w:num>
  <w:num w:numId="4" w16cid:durableId="408426492">
    <w:abstractNumId w:val="4"/>
  </w:num>
  <w:num w:numId="5" w16cid:durableId="1643466441">
    <w:abstractNumId w:val="7"/>
  </w:num>
  <w:num w:numId="6" w16cid:durableId="1481458559">
    <w:abstractNumId w:val="3"/>
  </w:num>
  <w:num w:numId="7" w16cid:durableId="1432354907">
    <w:abstractNumId w:val="2"/>
  </w:num>
  <w:num w:numId="8" w16cid:durableId="1798404572">
    <w:abstractNumId w:val="1"/>
  </w:num>
  <w:num w:numId="9" w16cid:durableId="97853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7D"/>
    <w:rsid w:val="0006063C"/>
    <w:rsid w:val="000F5783"/>
    <w:rsid w:val="0015074B"/>
    <w:rsid w:val="001A206C"/>
    <w:rsid w:val="002571A7"/>
    <w:rsid w:val="0028671F"/>
    <w:rsid w:val="0029639D"/>
    <w:rsid w:val="002D2C78"/>
    <w:rsid w:val="00326F90"/>
    <w:rsid w:val="00660A15"/>
    <w:rsid w:val="00663731"/>
    <w:rsid w:val="00757149"/>
    <w:rsid w:val="00841901"/>
    <w:rsid w:val="00A55067"/>
    <w:rsid w:val="00AA0CE0"/>
    <w:rsid w:val="00AA1D8D"/>
    <w:rsid w:val="00AD4FB3"/>
    <w:rsid w:val="00B47730"/>
    <w:rsid w:val="00CB0664"/>
    <w:rsid w:val="00EC40AD"/>
    <w:rsid w:val="00FC693F"/>
    <w:rsid w:val="00FE6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4469B"/>
  <w14:defaultImageDpi w14:val="300"/>
  <w15:docId w15:val="{7BE295F4-EA5F-5B42-BDB7-1759DF5C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
      <w:jc w:val="center"/>
    </w:pPr>
    <w:rPr>
      <w:bCs/>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40" w:line="240" w:lineRule="auto"/>
      <w:jc w:val="center"/>
    </w:pPr>
    <w:rPr>
      <w:rFonts w:ascii="Times New Roman" w:eastAsia="Times New Roman" w:hAnsi="Times New Roman"/>
      <w:b/>
      <w:sz w:val="28"/>
    </w:rPr>
  </w:style>
  <w:style w:type="paragraph" w:customStyle="1" w:styleId="Authors">
    <w:name w:val="Authors"/>
    <w:pPr>
      <w:spacing w:after="40" w:line="240" w:lineRule="auto"/>
      <w:jc w:val="center"/>
    </w:pPr>
    <w:rPr>
      <w:rFonts w:ascii="Times New Roman" w:eastAsia="Times New Roman" w:hAnsi="Times New Roman"/>
      <w:sz w:val="20"/>
    </w:rPr>
  </w:style>
  <w:style w:type="paragraph" w:customStyle="1" w:styleId="Affil">
    <w:name w:val="Affil"/>
    <w:pPr>
      <w:spacing w:after="40" w:line="240" w:lineRule="auto"/>
      <w:jc w:val="center"/>
    </w:pPr>
    <w:rPr>
      <w:rFonts w:ascii="Times New Roman" w:eastAsia="Times New Roman" w:hAnsi="Times New Roman"/>
      <w:sz w:val="17"/>
    </w:rPr>
  </w:style>
  <w:style w:type="paragraph" w:customStyle="1" w:styleId="H1x">
    <w:name w:val="H1x"/>
    <w:pPr>
      <w:spacing w:after="40" w:line="240" w:lineRule="auto"/>
    </w:pPr>
    <w:rPr>
      <w:rFonts w:ascii="Times New Roman" w:eastAsia="Times New Roman" w:hAnsi="Times New Roman"/>
      <w:b/>
    </w:rPr>
  </w:style>
  <w:style w:type="paragraph" w:customStyle="1" w:styleId="H2x">
    <w:name w:val="H2x"/>
    <w:pPr>
      <w:spacing w:after="40" w:line="240" w:lineRule="auto"/>
    </w:pPr>
    <w:rPr>
      <w:rFonts w:ascii="Times New Roman" w:eastAsia="Times New Roman" w:hAnsi="Times New Roman"/>
      <w:b/>
      <w:sz w:val="20"/>
    </w:rPr>
  </w:style>
  <w:style w:type="paragraph" w:customStyle="1" w:styleId="Abstract">
    <w:name w:val="Abstract"/>
    <w:pPr>
      <w:spacing w:after="40" w:line="240" w:lineRule="auto"/>
      <w:jc w:val="both"/>
    </w:pPr>
    <w:rPr>
      <w:rFonts w:ascii="Times New Roman" w:eastAsia="Times New Roman" w:hAnsi="Times New Roman"/>
      <w:sz w:val="18"/>
    </w:rPr>
  </w:style>
  <w:style w:type="paragraph" w:customStyle="1" w:styleId="Refs">
    <w:name w:val="Refs"/>
    <w:pPr>
      <w:spacing w:after="20" w:line="240" w:lineRule="auto"/>
      <w:jc w:val="both"/>
    </w:pPr>
    <w:rPr>
      <w:rFonts w:ascii="Times New Roman" w:eastAsia="Times New Roman" w:hAnsi="Times New Roman"/>
      <w:sz w:val="15"/>
    </w:rPr>
  </w:style>
  <w:style w:type="paragraph" w:styleId="Revision">
    <w:name w:val="Revision"/>
    <w:hidden/>
    <w:uiPriority w:val="99"/>
    <w:semiHidden/>
    <w:rsid w:val="00FE690C"/>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3680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3853</Words>
  <Characters>21965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Huong Bui</cp:lastModifiedBy>
  <cp:revision>9</cp:revision>
  <dcterms:created xsi:type="dcterms:W3CDTF">2026-08-29T07:37:00Z</dcterms:created>
  <dcterms:modified xsi:type="dcterms:W3CDTF">2026-08-29T08:10:00Z</dcterms:modified>
  <cp:category/>
</cp:coreProperties>
</file>