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A15" w:rsidRDefault="00000000">
      <w:pPr>
        <w:pStyle w:val="PaperTitle"/>
      </w:pPr>
      <w:r>
        <w:t>ROBUST PROBABILISTIC ENERGY FORECASTING UNDER GEOPOLITICAL SHOCKS: AN ADAPTIVE MIXTURE OF LOCAL-GLOBAL EXPERTS</w:t>
      </w:r>
    </w:p>
    <w:p w:rsidR="00660A15" w:rsidRDefault="00000000">
      <w:pPr>
        <w:pStyle w:val="Authors"/>
      </w:pPr>
      <w:r>
        <w:rPr>
          <w:b/>
        </w:rPr>
        <w:t>Nguyễn Phước Anh Dũng¹, Bùi Danh Hường¹*, Hoàng Văn Quý²</w:t>
      </w:r>
    </w:p>
    <w:p w:rsidR="00660A15" w:rsidRDefault="00000000">
      <w:pPr>
        <w:pStyle w:val="Affil"/>
      </w:pPr>
      <w:r>
        <w:rPr>
          <w:i/>
        </w:rPr>
        <w:t>¹Khoa Công nghệ Thông tin, Trường Đại học Công nghệ TP.HCM (HUTECH), TP. Hồ Chí Minh, Việt Nam</w:t>
      </w:r>
      <w:r>
        <w:rPr>
          <w:i/>
        </w:rPr>
        <w:br/>
        <w:t>²Khoa Công nghệ Thông tin, Trường Đại học Thủy lợi (TLU), Hà Nội, Việt Nam</w:t>
      </w:r>
      <w:r>
        <w:rPr>
          <w:i/>
        </w:rPr>
        <w:br/>
        <w:t>*Tác giả liên hệ: Bùi Danh Hường (bd.huong@hutech.edu.vn)</w:t>
      </w:r>
    </w:p>
    <w:p w:rsidR="00660A15" w:rsidRDefault="00000000">
      <w:pPr>
        <w:pStyle w:val="Affil"/>
      </w:pPr>
      <w:r>
        <w:t>²Khoa Công nghệ Thông tin, Trường Đại học Thủy lợi (TLU), Hà Nội, Việt Nam</w:t>
      </w:r>
    </w:p>
    <w:p w:rsidR="00660A15" w:rsidRDefault="00000000">
      <w:pPr>
        <w:pStyle w:val="Affil"/>
      </w:pPr>
      <w:r>
        <w:t>*Tác giả liên hệ: bd.huong@hutech.edu.vn</w:t>
      </w:r>
    </w:p>
    <w:p w:rsidR="00660A15" w:rsidRDefault="00000000">
      <w:pPr>
        <w:pStyle w:val="Abstract"/>
        <w:spacing w:after="80" w:line="264" w:lineRule="auto" w:before="0"/>
        <w:jc w:val="both"/>
      </w:pPr>
      <w:r/>
      <w:r>
        <w:rPr>
          <w:rFonts w:ascii="Times New Roman" w:hAnsi="Times New Roman"/>
          <w:sz w:val="19"/>
        </w:rPr>
        <w:t xml:space="preserve">Tóm tắt—Bài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w:t>
      </w:r>
      <m:oMath>
        <m:r>
          <m:t>q ∈ {0.1, 0.5, 0.9}</m:t>
        </m:r>
      </m:oMath>
      <w:r>
        <w:rPr>
          <w:rFonts w:ascii="Times New Roman" w:hAnsi="Times New Roman"/>
          <w:sz w:val="19"/>
        </w:rPr>
        <w:t xml:space="preserve"> được tối ưu bằng pinball loss và residual scaling. Trên dữ liệu đa nguồn 11/2008–04/2026 (</w:t>
      </w:r>
      <m:oMath>
        <m:r>
          <m:t>N = 4.512</m:t>
        </m:r>
      </m:oMath>
      <w:r>
        <w:rPr>
          <w:rFonts w:ascii="Times New Roman" w:hAnsi="Times New Roman"/>
          <w:sz w:val="19"/>
        </w:rPr>
        <w:t xml:space="preserve"> quan sát) theo giao thức expanding walk-forward trong các giai đoạn thị trường biến động khốc liệt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rsidR="00660A15" w:rsidRDefault="00000000">
      <w:pPr>
        <w:pStyle w:val="Abstract"/>
      </w:pPr>
      <w:r>
        <w:t>Từ khóa—dự báo giá năng lượng; mixture-of-experts; Wavelet-KAN; rủi ro địa chính trị; dự báo đa phân vị; walk-forward validation.</w:t>
      </w:r>
    </w:p>
    <w:p w:rsidR="00660A15" w:rsidRDefault="00000000">
      <w:pPr>
        <w:pStyle w:val="H1x"/>
        <w:keepNext/>
      </w:pPr>
      <w:r>
        <w:t>1. GIỚI THIỆU</w:t>
      </w:r>
    </w:p>
    <w:p w:rsidR="00660A15" w:rsidRDefault="00000000">
      <w:pPr>
        <w:spacing w:after="80" w:line="276" w:lineRule="auto"/>
      </w:pPr>
      <w: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của các doanh nghiệp đầu mối xăng dầu lớn như Petrolimex và PVOIL.</w:t>
      </w:r>
    </w:p>
    <w:p w:rsidR="00660A15" w:rsidRDefault="00000000">
      <w:pPr>
        <w:spacing w:after="80" w:line="276" w:lineRule="auto"/>
      </w:pPr>
      <w:r>
        <w:t xml:space="preserve">Các kiến trúc chuỗi thời gian hiện đại như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và Chronos </w:t>
      </w:r>
      <w:hyperlink w:anchor="ref_16" w:history="1">
        <w:r>
          <w:rPr>
            <w:color w:val="1A56DB"/>
          </w:rPr>
          <w:t>[16]</w:t>
        </w:r>
      </w:hyperlink>
      <w: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thường đưa cùng một tập đặc trưng tới mọi expert, làm suy giảm mức độ chuyên môn hóa.</w:t>
      </w:r>
    </w:p>
    <w:p w:rsidR="00660A15" w:rsidRDefault="00841901">
      <w:pPr>
        <w:spacing w:after="80" w:line="276" w:lineRule="auto" w:before="0"/>
        <w:jc w:val="both"/>
      </w:pPr>
      <w:r/>
      <w:r>
        <w:rPr>
          <w:rFonts w:ascii="Times New Roman" w:hAnsi="Times New Roman"/>
          <w:sz w:val="19"/>
        </w:rPr>
        <w:t xml:space="preserve">Mô hình đề xuất 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m:t>N = 4.512</m:t>
        </m:r>
      </m:oMath>
      <w:r>
        <w:rPr>
          <w:rFonts w:ascii="Times New Roman" w:hAnsi="Times New Roman"/>
          <w:sz w:val="19"/>
        </w:rPr>
        <w:t xml:space="preserve"> ngày giao dịch trực tiếp trong các giai đoạn biến động địa chính trị cao (độ biến động tập test cao gấp 1,9–2,9 lần tập train) với bảng kết quả đầy đủ các chỉ số MAE, RMSE, MAPE, </w:t>
      </w:r>
      <m:oMath>
        <m:sSup>
          <m:e>
            <m:r>
              <m:t>R</m:t>
            </m:r>
          </m:e>
          <m:sup>
            <m:r>
              <m:t>2</m:t>
            </m:r>
          </m:sup>
        </m:sSup>
      </m:oMath>
      <w:r>
        <w:rPr>
          <w:rFonts w:ascii="Times New Roman" w:hAnsi="Times New Roman"/>
          <w:sz w:val="19"/>
        </w:rPr>
        <w:t xml:space="preserve"> và DA%.</w:t>
      </w:r>
    </w:p>
    <w:p w:rsidR="00660A15" w:rsidRDefault="00000000">
      <w:pPr>
        <w:pStyle w:val="H1x"/>
        <w:keepNext/>
      </w:pPr>
      <w:r>
        <w:t>2. NGHIÊN CỨU LIÊN QUAN</w:t>
      </w:r>
    </w:p>
    <w:p w:rsidR="00660A15" w:rsidRDefault="00000000">
      <w:pPr>
        <w:spacing w:after="80" w:line="276" w:lineRule="auto"/>
      </w:pPr>
      <w:r>
        <w:t xml:space="preserve">Kilian </w:t>
      </w:r>
      <w:hyperlink w:anchor="ref_2" w:history="1">
        <w:r>
          <w:rPr>
            <w:color w:val="1A56DB"/>
          </w:rPr>
          <w:t>[2]</w:t>
        </w:r>
      </w:hyperlink>
      <w:r>
        <w:t xml:space="preserve"> và Baumeister &amp; Kilian </w:t>
      </w:r>
      <w:hyperlink w:anchor="ref_3" w:history="1">
        <w:r>
          <w:rPr>
            <w:color w:val="1A56DB"/>
          </w:rPr>
          <w:t>[3]</w:t>
        </w:r>
      </w:hyperlink>
      <w:r>
        <w:t xml:space="preserve"> đặt nền tảng cho việc phân tách cú sốc cung–cầu trong thị trường dầu, trong khi chỉ số GPR của Caldara &amp; Iacoviello </w:t>
      </w:r>
      <w:hyperlink w:anchor="ref_1" w:history="1">
        <w:r>
          <w:rPr>
            <w:color w:val="1A56DB"/>
          </w:rPr>
          <w:t>[1]</w:t>
        </w:r>
      </w:hyperlink>
      <w:r>
        <w:t xml:space="preserve"> cung cấp thước đo định lượng cho rủi ro địa chính trị. Ở phía mô hình, PatchTST </w:t>
      </w:r>
      <w:hyperlink w:anchor="ref_8" w:history="1">
        <w:r>
          <w:rPr>
            <w:color w:val="1A56DB"/>
          </w:rPr>
          <w:t>[8]</w:t>
        </w:r>
      </w:hyperlink>
      <w:r>
        <w:t xml:space="preserve">, iTransformer </w:t>
      </w:r>
      <w:hyperlink w:anchor="ref_9" w:history="1">
        <w:r>
          <w:rPr>
            <w:color w:val="1A56DB"/>
          </w:rPr>
          <w:t>[9]</w:t>
        </w:r>
      </w:hyperlink>
      <w:r>
        <w:t xml:space="preserve"> và TimesNet </w:t>
      </w:r>
      <w:hyperlink w:anchor="ref_10" w:history="1">
        <w:r>
          <w:rPr>
            <w:color w:val="1A56DB"/>
          </w:rPr>
          <w:t>[10]</w:t>
        </w:r>
      </w:hyperlink>
      <w:r>
        <w:t xml:space="preserve"> đại diện cho các thiết kế Transformer/biến thiên thời gian hiện đại; DLinear </w:t>
      </w:r>
      <w:hyperlink w:anchor="ref_11" w:history="1">
        <w:r>
          <w:rPr>
            <w:color w:val="1A56DB"/>
          </w:rPr>
          <w:t>[11]</w:t>
        </w:r>
      </w:hyperlink>
      <w:r>
        <w:t xml:space="preserve"> cho thấy mô hình tuyến tính có phân rã vẫn là baseline mạnh. TFT </w:t>
      </w:r>
      <w:hyperlink w:anchor="ref_12" w:history="1">
        <w:r>
          <w:rPr>
            <w:color w:val="1A56DB"/>
          </w:rPr>
          <w:t>[12]</w:t>
        </w:r>
      </w:hyperlink>
      <w:r>
        <w:t xml:space="preserve">, N-BEATS </w:t>
      </w:r>
      <w:hyperlink w:anchor="ref_13" w:history="1">
        <w:r>
          <w:rPr>
            <w:color w:val="1A56DB"/>
          </w:rPr>
          <w:t>[13]</w:t>
        </w:r>
      </w:hyperlink>
      <w:r>
        <w:t xml:space="preserve"> và N-HiTS </w:t>
      </w:r>
      <w:hyperlink w:anchor="ref_14" w:history="1">
        <w:r>
          <w:rPr>
            <w:color w:val="1A56DB"/>
          </w:rPr>
          <w:t>[14]</w:t>
        </w:r>
      </w:hyperlink>
      <w:r>
        <w:t xml:space="preserve"> mở rộng dự báo đa horizon; Mamba </w:t>
      </w:r>
      <w:hyperlink w:anchor="ref_15" w:history="1">
        <w:r>
          <w:rPr>
            <w:color w:val="1A56DB"/>
          </w:rPr>
          <w:t>[15]</w:t>
        </w:r>
      </w:hyperlink>
      <w:r>
        <w:t xml:space="preserve"> đưa state-space chọn lọc vào sequence modeling;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và TTM </w:t>
      </w:r>
      <w:hyperlink w:anchor="ref_19" w:history="1">
        <w:r>
          <w:rPr>
            <w:color w:val="1A56DB"/>
          </w:rPr>
          <w:t>[19]</w:t>
        </w:r>
      </w:hyperlink>
      <w:r>
        <w:t xml:space="preserve"> mở rộng sang foundation time-series models.</w:t>
      </w:r>
    </w:p>
    <w:p w:rsidR="00660A15" w:rsidRDefault="00000000">
      <w:pPr>
        <w:spacing w:after="80" w:line="276" w:lineRule="auto"/>
      </w:pPr>
      <w:r>
        <w:t xml:space="preserve">Về MoE, Jacobs et al. </w:t>
      </w:r>
      <w:hyperlink w:anchor="ref_20" w:history="1">
        <w:r>
          <w:rPr>
            <w:color w:val="1A56DB"/>
          </w:rPr>
          <w:t>[20]</w:t>
        </w:r>
      </w:hyperlink>
      <w:r>
        <w:t xml:space="preserve"> giới thiệu adaptive mixtures of local experts; Shazeer et al. </w:t>
      </w:r>
      <w:hyperlink w:anchor="ref_21" w:history="1">
        <w:r>
          <w:rPr>
            <w:color w:val="1A56DB"/>
          </w:rPr>
          <w:t>[21]</w:t>
        </w:r>
      </w:hyperlink>
      <w:r>
        <w:t xml:space="preserve"> và Switch Transformer </w:t>
      </w:r>
      <w:hyperlink w:anchor="ref_22" w:history="1">
        <w:r>
          <w:rPr>
            <w:color w:val="1A56DB"/>
          </w:rPr>
          <w:t>[22]</w:t>
        </w:r>
      </w:hyperlink>
      <w:r>
        <w:t xml:space="preserve"> phát triển sparse gating ở quy mô lớn. KAN </w:t>
      </w:r>
      <w:hyperlink w:anchor="ref_23" w:history="1">
        <w:r>
          <w:rPr>
            <w:color w:val="1A56DB"/>
          </w:rPr>
          <w:t>[23]</w:t>
        </w:r>
      </w:hyperlink>
      <w:r>
        <w:t xml:space="preserve"> và Wav-KAN </w:t>
      </w:r>
      <w:hyperlink w:anchor="ref_24" w:history="1">
        <w:r>
          <w:rPr>
            <w:color w:val="1A56DB"/>
          </w:rPr>
          <w:t>[24]</w:t>
        </w:r>
      </w:hyperlink>
      <w:r>
        <w:t xml:space="preserve"> thay thế activation cố định bằng hàm cơ sở có thể học, trong đó wavelet phù hợp với tín hiệu cục bộ đa độ phân giải </w:t>
      </w:r>
      <w:hyperlink w:anchor="ref_25" w:history="1">
        <w:r>
          <w:rPr>
            <w:color w:val="1A56DB"/>
          </w:rPr>
          <w:t>[25]</w:t>
        </w:r>
      </w:hyperlink>
      <w:r>
        <w:t xml:space="preserve">. Time-MoE </w:t>
      </w:r>
      <w:hyperlink w:anchor="ref_26" w:history="1">
        <w:r>
          <w:rPr>
            <w:color w:val="1A56DB"/>
          </w:rPr>
          <w:t>[26]</w:t>
        </w:r>
      </w:hyperlink>
      <w:r>
        <w:t xml:space="preserve"> và TimeMixer++ </w:t>
      </w:r>
      <w:hyperlink w:anchor="ref_27" w:history="1">
        <w:r>
          <w:rPr>
            <w:color w:val="1A56DB"/>
          </w:rPr>
          <w:t>[27]</w:t>
        </w:r>
      </w:hyperlink>
      <w: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rsidR="00660A15" w:rsidRDefault="00000000">
      <w:pPr>
        <w:pStyle w:val="H1x"/>
        <w:keepNext/>
      </w:pPr>
      <w:r>
        <w:lastRenderedPageBreak/>
        <w:t>3. PHƯƠNG PHÁP GUMNetHet</w:t>
      </w:r>
    </w:p>
    <w:p w:rsidR="00660A15" w:rsidRPr="001A206C" w:rsidRDefault="00000000">
      <w:pPr>
        <w:pStyle w:val="H2x"/>
        <w:keepNext/>
        <w:rPr>
          <w:lang w:val="vi-VN"/>
        </w:rPr>
      </w:pPr>
      <w:r>
        <w:t xml:space="preserve">3.1. </w:t>
      </w:r>
      <w:r w:rsidR="00841901">
        <w:t>Phát</w:t>
      </w:r>
      <w:r w:rsidR="00841901">
        <w:rPr>
          <w:lang w:val="vi-VN"/>
        </w:rPr>
        <w:t xml:space="preserve"> biểu bài toán</w:t>
      </w:r>
    </w:p>
    <w:p w:rsidR="00841901" w:rsidRDefault="00841901" w:rsidP="00841901">
      <w:r>
        <w:t xml:space="preserve">Gọi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t-L+1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L×D</m:t>
            </m:r>
          </m:sup>
        </m:sSup>
      </m:oMath>
      <w:r>
        <w:t xml:space="preserve"> là ma trận đặc trưng đa biến quá khứ với độ dài </w:t>
      </w:r>
      <m:oMath>
        <m:r>
          <w:rPr>
            <w:rFonts w:ascii="Cambria Math" w:hAnsi="Cambria Math"/>
          </w:rPr>
          <m:t>L = 30</m:t>
        </m:r>
      </m:oMath>
      <w:r>
        <w:t xml:space="preserve"> ngày giao dịch trên </w:t>
      </w:r>
      <m:oMath>
        <m:r>
          <w:rPr>
            <w:rFonts w:ascii="Cambria Math" w:hAnsi="Cambria Math"/>
          </w:rPr>
          <m:t>D</m:t>
        </m:r>
      </m:oMath>
      <w:r>
        <w:t xml:space="preserve"> chiều đầu vào. Mục tiêu dự báo là ước lượng trực tiếp vectơ lợi suất log tích lũy </w:t>
      </w:r>
      <m:oMath>
        <m:sSub>
          <m:sSubPr>
            <m:ctrlPr>
              <w:rPr>
                <w:rFonts w:ascii="Cambria Math" w:hAnsi="Cambria Math"/>
              </w:rPr>
            </m:ctrlPr>
          </m:sSubPr>
          <m:e>
            <m:r>
              <w:rPr>
                <w:rFonts w:ascii="Cambria Math" w:hAnsi="Cambria Math"/>
              </w:rPr>
              <m:t>R</m:t>
            </m:r>
          </m:e>
          <m:sub>
            <m:r>
              <w:rPr>
                <w:rFonts w:ascii="Cambria Math" w:hAnsi="Cambria Math"/>
              </w:rPr>
              <m:t>t→t+h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C</m:t>
            </m:r>
          </m:sup>
        </m:sSup>
      </m:oMath>
      <w:r>
        <w:t xml:space="preserve"> qua chu kỳ </w:t>
      </w:r>
      <m:oMath>
        <m:r>
          <w:rPr>
            <w:rFonts w:ascii="Cambria Math" w:hAnsi="Cambria Math"/>
          </w:rPr>
          <m:t>h ∈ {1, 3, 5, 7, 10, 20, 60}</m:t>
        </m:r>
      </m:oMath>
      <w:r>
        <w:t xml:space="preserve"> cho nhóm sản phẩm </w:t>
      </w:r>
      <m:oMath>
        <m:r>
          <w:rPr>
            <w:rFonts w:ascii="Cambria Math" w:hAnsi="Cambria Math"/>
          </w:rPr>
          <m:t>C ∈ {Xăng (RON95, RON92), Dầu (DO 0.05%, DO 0.001%)}</m:t>
        </m:r>
      </m:oMath>
      <w:r>
        <w:t xml:space="preserve"> được định nghĩa theo </w:t>
      </w:r>
      <w:hyperlink w:anchor="eq_1" w:history="1">
        <w:r>
          <w:rPr>
            <w:color w:val="1A56DB"/>
          </w:rPr>
          <w:t>(1)</w:t>
        </w:r>
      </w:hyperlink>
      <w:r>
        <w:t>:</w:t>
      </w:r>
    </w:p>
    <w:tbl>
      <w:tblPr>
        <w:tblW w:w="0" w:type="auto"/>
        <w:jc w:val="center"/>
        <w:tblLayout w:type="fixed"/>
        <w:tblLook w:val="04A0" w:firstRow="1" w:lastRow="0" w:firstColumn="1" w:lastColumn="0" w:noHBand="0" w:noVBand="1"/>
      </w:tblPr>
      <w:tblGrid>
        <w:gridCol w:w="8352"/>
        <w:gridCol w:w="1008"/>
      </w:tblGrid>
      <w:tr w:rsidR="00841901" w:rsidTr="00046968">
        <w:trPr>
          <w:jc w:val="center"/>
        </w:trPr>
        <w:tc>
          <w:tcPr>
            <w:tcW w:w="8352" w:type="dxa"/>
          </w:tcPr>
          <w:p w:rsidR="00841901" w:rsidRDefault="00841901" w:rsidP="00046968">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tcPr>
          <w:p w:rsidR="00841901" w:rsidRDefault="00841901" w:rsidP="00046968">
            <w:pPr>
              <w:spacing w:before="60" w:after="60"/>
              <w:jc w:val="right"/>
            </w:pPr>
            <w:bookmarkStart w:id="0" w:name="eq_1"/>
            <w:r>
              <w:t>(1)</w:t>
            </w:r>
            <w:bookmarkEnd w:id="0"/>
          </w:p>
        </w:tc>
      </w:tr>
    </w:tbl>
    <w:p w:rsidR="00841901" w:rsidRDefault="00841901" w:rsidP="00841901">
      <w:r>
        <w:t xml:space="preserve">Mức giá dự báo tương lai </w:t>
      </w:r>
      <m:oMath>
        <m:sSub>
          <m:sSubPr>
            <m:ctrlPr>
              <w:rPr>
                <w:rFonts w:ascii="Cambria Math" w:hAnsi="Cambria Math"/>
              </w:rPr>
            </m:ctrlPr>
          </m:sSubPr>
          <m:e>
            <m:r>
              <w:rPr>
                <w:rFonts w:ascii="Cambria Math" w:hAnsi="Cambria Math"/>
              </w:rPr>
              <m:t>P̂</m:t>
            </m:r>
          </m:e>
          <m:sub>
            <m:r>
              <w:rPr>
                <w:rFonts w:ascii="Cambria Math" w:hAnsi="Cambria Math"/>
              </w:rPr>
              <m:t>t+h, c</m:t>
            </m:r>
          </m:sub>
        </m:sSub>
      </m:oMath>
      <w:r>
        <w:t xml:space="preserve"> sau đó được phục hồi chính xác thông qua phép biến đổi nghịch đảo tiền định theo </w:t>
      </w:r>
      <w:hyperlink w:anchor="eq_2" w:history="1">
        <w:r>
          <w:rPr>
            <w:color w:val="1A56DB"/>
          </w:rPr>
          <w:t>(2)</w:t>
        </w:r>
      </w:hyperlink>
      <w:r>
        <w:t>:</w:t>
      </w:r>
    </w:p>
    <w:tbl>
      <w:tblPr>
        <w:tblW w:w="0" w:type="auto"/>
        <w:jc w:val="center"/>
        <w:tblLayout w:type="fixed"/>
        <w:tblLook w:val="04A0" w:firstRow="1" w:lastRow="0" w:firstColumn="1" w:lastColumn="0" w:noHBand="0" w:noVBand="1"/>
      </w:tblPr>
      <w:tblGrid>
        <w:gridCol w:w="8352"/>
        <w:gridCol w:w="1008"/>
      </w:tblGrid>
      <w:tr w:rsidR="00841901" w:rsidTr="00046968">
        <w:trPr>
          <w:jc w:val="center"/>
        </w:trPr>
        <w:tc>
          <w:tcPr>
            <w:tcW w:w="8352" w:type="dxa"/>
          </w:tcPr>
          <w:p w:rsidR="00841901" w:rsidRDefault="00841901" w:rsidP="00046968">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tcPr>
          <w:p w:rsidR="00841901" w:rsidRDefault="00841901" w:rsidP="00046968">
            <w:pPr>
              <w:spacing w:before="60" w:after="60"/>
              <w:jc w:val="right"/>
            </w:pPr>
            <w:bookmarkStart w:id="1" w:name="eq_2"/>
            <w:r>
              <w:t>(2)</w:t>
            </w:r>
            <w:bookmarkEnd w:id="1"/>
          </w:p>
        </w:tc>
      </w:tr>
    </w:tbl>
    <w:p w:rsidR="00660A15" w:rsidRPr="001A206C" w:rsidRDefault="00000000">
      <w:pPr>
        <w:pStyle w:val="H2x"/>
        <w:keepNext/>
        <w:rPr>
          <w:lang w:val="vi-VN"/>
        </w:rPr>
      </w:pPr>
      <w:r>
        <w:t xml:space="preserve">3.2. </w:t>
      </w:r>
      <w:r w:rsidR="0028671F">
        <w:t>Khung</w:t>
      </w:r>
      <w:r w:rsidR="0028671F">
        <w:rPr>
          <w:lang w:val="vi-VN"/>
        </w:rPr>
        <w:t xml:space="preserve"> kiến trúc hệ thống </w:t>
      </w:r>
      <w:r w:rsidR="0028671F">
        <w:t>GUMNetHet</w:t>
      </w:r>
    </w:p>
    <w:p w:rsidR="0028671F" w:rsidRDefault="0028671F" w:rsidP="0028671F">
      <w:r>
        <w:rPr>
          <w:sz w:val="16"/>
        </w:rPr>
        <w:t>Hình 1</w:t>
      </w:r>
      <w:r>
        <w:t xml:space="preserve"> mô tả chi tiết kiến trúc nơ-ron của GUMNetHet, thể hiện cơ chế hoạt động nội bộ của ba khối chuyên gia chuyên biệt, bộ định tuyến cổng động và đầu ra dự báo phân vị co giãn phần dư.</w:t>
      </w:r>
    </w:p>
    <w:p w:rsidR="00660A15" w:rsidRDefault="00000000">
      <w:pPr>
        <w:spacing w:after="20"/>
        <w:jc w:val="center"/>
      </w:pPr>
      <w:r>
        <w:rPr>
          <w:noProof/>
        </w:rPr>
        <w:drawing>
          <wp:inline distT="0" distB="0" distL="0" distR="0">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rsidR="00660A15" w:rsidRDefault="00000000">
      <w:pPr>
        <w:pStyle w:val="Caption"/>
        <w:spacing w:before="60" w:after="120"/>
      </w:pPr>
      <w:bookmarkStart w:id="2" w:name="fig_1"/>
      <w:bookmarkEnd w:id="2"/>
      <w:r>
        <w:rPr>
          <w:sz w:val="16"/>
        </w:rPr>
        <w:t>Hình 1. Kiến trúc GUMNetHet: phân vùng đặc trưng, ba expert dị thể, horizon-aware router và multi-quantile head.</w:t>
      </w:r>
    </w:p>
    <w:p w:rsidR="0028671F" w:rsidRDefault="0028671F" w:rsidP="0028671F">
      <w:pPr>
        <w:keepNext/>
        <w:spacing w:before="120"/>
      </w:pPr>
      <w:r>
        <w:rPr>
          <w:b/>
          <w:i/>
        </w:rPr>
        <w:t>3.</w:t>
      </w:r>
      <w:r>
        <w:rPr>
          <w:b/>
          <w:i/>
          <w:lang w:val="vi-VN"/>
        </w:rPr>
        <w:t>2</w:t>
      </w:r>
      <w:r>
        <w:rPr>
          <w:b/>
          <w:i/>
        </w:rPr>
        <w:t>.1. Chuyên gia Động lượng Giá: 1D-CNN Đa tỷ lệ</w:t>
      </w:r>
    </w:p>
    <w:p w:rsidR="0028671F" w:rsidRDefault="0028671F" w:rsidP="0028671F">
      <w:r>
        <w:t xml:space="preserve">Chuyên gia giá sử dụng ba tầng tích chập 1D song song với kích thước kernel </w:t>
      </w:r>
      <m:oMath>
        <m:r>
          <w:rPr>
            <w:rFonts w:ascii="Cambria Math" w:hAnsi="Cambria Math"/>
          </w:rPr>
          <m:t>k ∈ {3, 7, 15}</m:t>
        </m:r>
      </m:oMath>
      <w:r>
        <w:t xml:space="preserve"> để trích xuất đặc trưng thời gian đa độ phân giải, kết hợp chuẩn hóa tầng và cơ chế chú ý theo thời gian theo </w:t>
      </w:r>
      <w:hyperlink w:anchor="eq_3" w:history="1">
        <w:r>
          <w:rPr>
            <w:color w:val="1A56DB"/>
          </w:rPr>
          <w:t>(3)</w:t>
        </w:r>
      </w:hyperlink>
      <w:r>
        <w:t xml:space="preserve"> và </w:t>
      </w:r>
      <w:hyperlink w:anchor="eq_4" w:history="1">
        <w:r>
          <w:rPr>
            <w:color w:val="1A56DB"/>
          </w:rPr>
          <w:t>(4)</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tcPr>
          <w:p w:rsidR="0028671F" w:rsidRDefault="0028671F" w:rsidP="00046968">
            <w:pPr>
              <w:spacing w:before="60" w:after="60"/>
              <w:jc w:val="right"/>
            </w:pPr>
            <w:bookmarkStart w:id="3" w:name="eq_3"/>
            <w:r>
              <w:t>(3)</w:t>
            </w:r>
            <w:bookmarkEnd w:id="3"/>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tcPr>
          <w:p w:rsidR="0028671F" w:rsidRDefault="0028671F" w:rsidP="00046968">
            <w:pPr>
              <w:spacing w:before="60" w:after="60"/>
              <w:jc w:val="right"/>
            </w:pPr>
            <w:bookmarkStart w:id="4" w:name="eq_4"/>
            <w:r>
              <w:t>(4)</w:t>
            </w:r>
            <w:bookmarkEnd w:id="4"/>
          </w:p>
        </w:tc>
      </w:tr>
    </w:tbl>
    <w:p w:rsidR="0028671F" w:rsidRDefault="0028671F" w:rsidP="0028671F">
      <w:pPr>
        <w:keepNext/>
        <w:spacing w:before="120"/>
      </w:pPr>
      <w:r>
        <w:rPr>
          <w:b/>
          <w:i/>
        </w:rPr>
        <w:t>3.</w:t>
      </w:r>
      <w:r>
        <w:rPr>
          <w:b/>
          <w:i/>
          <w:lang w:val="vi-VN"/>
        </w:rPr>
        <w:t>2</w:t>
      </w:r>
      <w:r>
        <w:rPr>
          <w:b/>
          <w:i/>
        </w:rPr>
        <w:t>.2. Chuyên gia Chế độ Vĩ mô: GRU-Attention</w:t>
      </w:r>
    </w:p>
    <w:p w:rsidR="0028671F" w:rsidRDefault="0028671F" w:rsidP="0028671F">
      <w:r>
        <w:t xml:space="preserve">Chuyên gia kinh tế vĩ mô xử lý các tín hiệu xu hướng tần số thấp thông qua mạng GRU 2 tầng xếp chồng với dropout = 0.1, trích xuất biểu diễn trạng thái ẩn cuối cùng </w:t>
      </w:r>
      <m:oMath>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w:t>
      </w:r>
      <w:hyperlink w:anchor="eq_5" w:history="1">
        <w:r>
          <w:rPr>
            <w:color w:val="1A56DB"/>
          </w:rPr>
          <w:t>(5)</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rsidR="0028671F" w:rsidRDefault="0028671F" w:rsidP="00046968">
            <w:pPr>
              <w:spacing w:before="60" w:after="60"/>
              <w:jc w:val="right"/>
            </w:pPr>
            <w:bookmarkStart w:id="5" w:name="eq_5"/>
            <w:r>
              <w:t>(5)</w:t>
            </w:r>
            <w:bookmarkEnd w:id="5"/>
          </w:p>
        </w:tc>
      </w:tr>
    </w:tbl>
    <w:p w:rsidR="0028671F" w:rsidRDefault="0028671F" w:rsidP="0028671F">
      <w:pPr>
        <w:keepNext/>
        <w:spacing w:before="120"/>
      </w:pPr>
      <w:r>
        <w:rPr>
          <w:b/>
          <w:i/>
        </w:rPr>
        <w:t>3.</w:t>
      </w:r>
      <w:r>
        <w:rPr>
          <w:b/>
          <w:i/>
          <w:lang w:val="vi-VN"/>
        </w:rPr>
        <w:t>2</w:t>
      </w:r>
      <w:r>
        <w:rPr>
          <w:b/>
          <w:i/>
        </w:rPr>
        <w:t>.3. Chuyên gia Triệt tiêu Cú sốc Phi tuyến: Wavelet-KAN</w:t>
      </w:r>
    </w:p>
    <w:p w:rsidR="0028671F" w:rsidRDefault="0028671F" w:rsidP="0028671F">
      <w:r>
        <w:t xml:space="preserve">Để nắm bắt các đứt gãy phi tuyến tính nghiêm trọng do các sự kiện rủi ro địa chính trị cực đoan, chuyên gia thứ ba triển khai Mạng Kolmogorov-Arnold tích hợp sóng con Mexican Hat </w:t>
      </w:r>
      <m:oMath>
        <m:r>
          <w:rPr>
            <w:rFonts w:ascii="Cambria Math" w:hAnsi="Cambria Math"/>
          </w:rPr>
          <m:t>ψ(z)</m:t>
        </m:r>
      </m:oMath>
      <w:r>
        <w:t xml:space="preserve"> với các tham số dịch chuyển </w:t>
      </w:r>
      <m:oMath>
        <m:r>
          <w:rPr>
            <w:rFonts w:ascii="Cambria Math" w:hAnsi="Cambria Math"/>
          </w:rPr>
          <m:t>t</m:t>
        </m:r>
      </m:oMath>
      <w:r>
        <w:t xml:space="preserve"> và co giãn </w:t>
      </w:r>
      <m:oMath>
        <m:r>
          <w:rPr>
            <w:rFonts w:ascii="Cambria Math" w:hAnsi="Cambria Math"/>
          </w:rPr>
          <m:t>s</m:t>
        </m:r>
      </m:oMath>
      <w:r>
        <w:t xml:space="preserve"> có thể học theo </w:t>
      </w:r>
      <w:hyperlink w:anchor="eq_6" w:history="1">
        <w:r>
          <w:rPr>
            <w:color w:val="1A56DB"/>
          </w:rPr>
          <w:t>(6)</w:t>
        </w:r>
      </w:hyperlink>
      <w:r>
        <w:t xml:space="preserve"> và </w:t>
      </w:r>
      <w:hyperlink w:anchor="eq_7" w:history="1">
        <w:r>
          <w:rPr>
            <w:color w:val="1A56DB"/>
          </w:rPr>
          <w:t>(7)</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tcPr>
          <w:p w:rsidR="0028671F" w:rsidRDefault="0028671F" w:rsidP="00046968">
            <w:pPr>
              <w:spacing w:before="60" w:after="60"/>
              <w:jc w:val="right"/>
            </w:pPr>
            <w:bookmarkStart w:id="6" w:name="eq_6"/>
            <w:r>
              <w:t>(6)</w:t>
            </w:r>
            <w:bookmarkEnd w:id="6"/>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tcPr>
          <w:p w:rsidR="0028671F" w:rsidRDefault="0028671F" w:rsidP="00046968">
            <w:pPr>
              <w:spacing w:before="60" w:after="60"/>
              <w:jc w:val="right"/>
            </w:pPr>
            <w:bookmarkStart w:id="7" w:name="eq_7"/>
            <w:r>
              <w:t>(7)</w:t>
            </w:r>
            <w:bookmarkEnd w:id="7"/>
          </w:p>
        </w:tc>
      </w:tr>
    </w:tbl>
    <w:p w:rsidR="0028671F" w:rsidRDefault="0028671F" w:rsidP="001A206C">
      <w:pPr>
        <w:keepNext/>
        <w:spacing w:before="120"/>
      </w:pPr>
      <w:r w:rsidRPr="001A206C">
        <w:rPr>
          <w:b/>
          <w:i/>
        </w:rPr>
        <w:t>3.</w:t>
      </w:r>
      <w:r>
        <w:rPr>
          <w:b/>
          <w:i/>
          <w:lang w:val="vi-VN"/>
        </w:rPr>
        <w:t>2</w:t>
      </w:r>
      <w:r w:rsidRPr="001A206C">
        <w:rPr>
          <w:b/>
          <w:i/>
        </w:rPr>
        <w:t>.</w:t>
      </w:r>
      <w:r>
        <w:rPr>
          <w:b/>
          <w:i/>
          <w:lang w:val="vi-VN"/>
        </w:rPr>
        <w:t>4</w:t>
      </w:r>
      <w:r w:rsidRPr="001A206C">
        <w:rPr>
          <w:b/>
          <w:i/>
        </w:rPr>
        <w:t xml:space="preserve"> Bộ Định tuyến Cổng Động Nhận biết Chu kỳ</w:t>
      </w:r>
    </w:p>
    <w:p w:rsidR="0028671F" w:rsidRDefault="0028671F" w:rsidP="0028671F">
      <w:r>
        <w:t xml:space="preserve">Nhằm điều tiết linh hoạt đóng góp của từng chuyên gia qua các chu kỳ dự báo </w:t>
      </w:r>
      <m:oMath>
        <m:r>
          <w:rPr>
            <w:rFonts w:ascii="Cambria Math" w:hAnsi="Cambria Math"/>
          </w:rPr>
          <m:t>h</m:t>
        </m:r>
      </m:oMath>
      <w:r>
        <w:t xml:space="preserve"> và các chế độ thị trường khác nhau, bộ định tuyến nhận đầu vào là các biểu diễn chuyên gia được ghép nối, nhúng vị trí chu kỳ </w:t>
      </w:r>
      <m:oMath>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và thống kê tóm tắt ngữ cảnh toàn cục </w:t>
      </w:r>
      <m:oMath>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 xml:space="preserve"> = [mean(X), std(X)] ∈ </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w:r>
        <w:t xml:space="preserve"> theo </w:t>
      </w:r>
      <w:hyperlink w:anchor="eq_8" w:history="1">
        <w:r>
          <w:rPr>
            <w:color w:val="1A56DB"/>
          </w:rPr>
          <w:t>(8)</w:t>
        </w:r>
      </w:hyperlink>
      <w:r>
        <w:t xml:space="preserve">, </w:t>
      </w:r>
      <w:hyperlink w:anchor="eq_9" w:history="1">
        <w:r>
          <w:rPr>
            <w:color w:val="1A56DB"/>
          </w:rPr>
          <w:t>(9)</w:t>
        </w:r>
      </w:hyperlink>
      <w:r>
        <w:t xml:space="preserve"> và </w:t>
      </w:r>
      <w:hyperlink w:anchor="eq_10" w:history="1">
        <w:r>
          <w:rPr>
            <w:color w:val="1A56DB"/>
          </w:rPr>
          <w:t>(10)</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tcPr>
          <w:p w:rsidR="0028671F" w:rsidRDefault="0028671F" w:rsidP="00046968">
            <w:pPr>
              <w:spacing w:before="60" w:after="60"/>
              <w:jc w:val="right"/>
            </w:pPr>
            <w:bookmarkStart w:id="8" w:name="eq_8"/>
            <w:r>
              <w:t>(8)</w:t>
            </w:r>
            <w:bookmarkEnd w:id="8"/>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tcPr>
          <w:p w:rsidR="0028671F" w:rsidRDefault="0028671F" w:rsidP="00046968">
            <w:pPr>
              <w:spacing w:before="60" w:after="60"/>
              <w:jc w:val="right"/>
            </w:pPr>
            <w:bookmarkStart w:id="9" w:name="eq_9"/>
            <w:r>
              <w:t>(9)</w:t>
            </w:r>
            <w:bookmarkEnd w:id="9"/>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tcPr>
          <w:p w:rsidR="0028671F" w:rsidRDefault="0028671F" w:rsidP="00046968">
            <w:pPr>
              <w:spacing w:before="60" w:after="60"/>
              <w:jc w:val="right"/>
            </w:pPr>
            <w:bookmarkStart w:id="10" w:name="eq_10"/>
            <w:r>
              <w:t>(10)</w:t>
            </w:r>
            <w:bookmarkEnd w:id="10"/>
          </w:p>
        </w:tc>
      </w:tr>
    </w:tbl>
    <w:p w:rsidR="0028671F" w:rsidRPr="001A206C" w:rsidRDefault="0028671F" w:rsidP="001A206C">
      <w:pPr>
        <w:keepNext/>
        <w:spacing w:before="120"/>
        <w:rPr>
          <w:b/>
          <w:i/>
        </w:rPr>
      </w:pPr>
      <w:r w:rsidRPr="001A206C">
        <w:rPr>
          <w:b/>
          <w:i/>
        </w:rPr>
        <w:lastRenderedPageBreak/>
        <w:t>3.</w:t>
      </w:r>
      <w:r>
        <w:rPr>
          <w:b/>
          <w:i/>
          <w:lang w:val="vi-VN"/>
        </w:rPr>
        <w:t>2</w:t>
      </w:r>
      <w:r w:rsidRPr="001A206C">
        <w:rPr>
          <w:b/>
          <w:i/>
        </w:rPr>
        <w:t>.</w:t>
      </w:r>
      <w:r>
        <w:rPr>
          <w:b/>
          <w:i/>
          <w:lang w:val="vi-VN"/>
        </w:rPr>
        <w:t>5</w:t>
      </w:r>
      <w:r w:rsidRPr="001A206C">
        <w:rPr>
          <w:b/>
          <w:i/>
        </w:rPr>
        <w:t xml:space="preserve"> Cơ chế Co giãn Phần dư &amp; Đầu ra Dự báo Đa Phân vị</w:t>
      </w:r>
    </w:p>
    <w:p w:rsidR="0028671F" w:rsidRDefault="0028671F" w:rsidP="0028671F">
      <w:r>
        <w:t xml:space="preserve">Để ngăn chặn sự bùng nổ phương sai ở chu kỳ dài hạn (như H60), GUMNetHet tích hợp vectơ co giãn phần dư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H</m:t>
            </m:r>
          </m:sup>
        </m:sSup>
      </m:oMath>
      <w:r>
        <w:t xml:space="preserve"> được khởi tạo tại 0.1, cung cấp các dự báo lợi suất đa phân vị cho các mức </w:t>
      </w:r>
      <m:oMath>
        <m:r>
          <w:rPr>
            <w:rFonts w:ascii="Cambria Math" w:hAnsi="Cambria Math"/>
          </w:rPr>
          <m:t xml:space="preserve">q ∈ </m:t>
        </m:r>
        <m:r>
          <m:rPr>
            <m:scr m:val="script"/>
          </m:rPr>
          <w:rPr>
            <w:rFonts w:ascii="Cambria Math" w:hAnsi="Cambria Math"/>
          </w:rPr>
          <m:t>Q</m:t>
        </m:r>
        <m:r>
          <w:rPr>
            <w:rFonts w:ascii="Cambria Math" w:hAnsi="Cambria Math"/>
          </w:rPr>
          <m:t xml:space="preserve"> = {0.1, 0.5, 0.9}</m:t>
        </m:r>
      </m:oMath>
      <w:r>
        <w:t xml:space="preserve"> theo </w:t>
      </w:r>
      <w:hyperlink w:anchor="eq_11" w:history="1">
        <w:r>
          <w:rPr>
            <w:color w:val="1A56DB"/>
          </w:rPr>
          <w:t>(11)</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tcPr>
          <w:p w:rsidR="0028671F" w:rsidRDefault="0028671F" w:rsidP="00046968">
            <w:pPr>
              <w:spacing w:before="60" w:after="60"/>
              <w:jc w:val="right"/>
            </w:pPr>
            <w:bookmarkStart w:id="11" w:name="eq_11"/>
            <w:r>
              <w:t>(11)</w:t>
            </w:r>
            <w:bookmarkEnd w:id="11"/>
          </w:p>
        </w:tc>
      </w:tr>
    </w:tbl>
    <w:p w:rsidR="0028671F" w:rsidRPr="001A206C" w:rsidRDefault="0028671F" w:rsidP="001A206C">
      <w:pPr>
        <w:keepNext/>
        <w:spacing w:before="120"/>
        <w:rPr>
          <w:b/>
          <w:i/>
        </w:rPr>
      </w:pPr>
      <w:r w:rsidRPr="001A206C">
        <w:rPr>
          <w:b/>
          <w:i/>
        </w:rPr>
        <w:t>3.</w:t>
      </w:r>
      <w:r>
        <w:rPr>
          <w:b/>
          <w:i/>
          <w:lang w:val="vi-VN"/>
        </w:rPr>
        <w:t>2</w:t>
      </w:r>
      <w:r w:rsidRPr="001A206C">
        <w:rPr>
          <w:b/>
          <w:i/>
        </w:rPr>
        <w:t>.</w:t>
      </w:r>
      <w:r>
        <w:rPr>
          <w:b/>
          <w:i/>
          <w:lang w:val="vi-VN"/>
        </w:rPr>
        <w:t>6</w:t>
      </w:r>
      <w:r w:rsidRPr="001A206C">
        <w:rPr>
          <w:b/>
          <w:i/>
        </w:rPr>
        <w:t xml:space="preserve"> Tối ưu hóa Hàm Mất mát Kép</w:t>
      </w:r>
    </w:p>
    <w:p w:rsidR="0028671F" w:rsidRDefault="0028671F" w:rsidP="0028671F">
      <w:r>
        <w:t xml:space="preserve">Hàm mục tiêu tổng thể kết hợp giữa mất mát pinball đa phân vị và điều chuẩn cân bằng tải nhằm chống sụp đổ cổng định tuyến theo </w:t>
      </w:r>
      <w:hyperlink w:anchor="eq_12" w:history="1">
        <w:r>
          <w:rPr>
            <w:color w:val="1A56DB"/>
          </w:rPr>
          <w:t>(12)</w:t>
        </w:r>
      </w:hyperlink>
      <w:r>
        <w:t xml:space="preserve">, </w:t>
      </w:r>
      <w:hyperlink w:anchor="eq_13" w:history="1">
        <w:r>
          <w:rPr>
            <w:color w:val="1A56DB"/>
          </w:rPr>
          <w:t>(13)</w:t>
        </w:r>
      </w:hyperlink>
      <w:r>
        <w:t xml:space="preserve"> và </w:t>
      </w:r>
      <w:hyperlink w:anchor="eq_14" w:history="1">
        <w:r>
          <w:rPr>
            <w:color w:val="1A56DB"/>
          </w:rPr>
          <w:t>(14)</w:t>
        </w:r>
      </w:hyperlink>
      <w:r>
        <w:t>:</w:t>
      </w:r>
    </w:p>
    <w:tbl>
      <w:tblPr>
        <w:tblW w:w="0" w:type="auto"/>
        <w:jc w:val="center"/>
        <w:tblLayout w:type="fixed"/>
        <w:tblLook w:val="04A0" w:firstRow="1" w:lastRow="0" w:firstColumn="1" w:lastColumn="0" w:noHBand="0" w:noVBand="1"/>
      </w:tblPr>
      <w:tblGrid>
        <w:gridCol w:w="8352"/>
        <w:gridCol w:w="1008"/>
      </w:tblGrid>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tcPr>
          <w:p w:rsidR="0028671F" w:rsidRDefault="0028671F" w:rsidP="00046968">
            <w:pPr>
              <w:spacing w:before="60" w:after="60"/>
              <w:jc w:val="right"/>
            </w:pPr>
            <w:bookmarkStart w:id="12" w:name="eq_12"/>
            <w:r>
              <w:t>(12)</w:t>
            </w:r>
            <w:bookmarkEnd w:id="12"/>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tcPr>
          <w:p w:rsidR="0028671F" w:rsidRDefault="0028671F" w:rsidP="00046968">
            <w:pPr>
              <w:spacing w:before="60" w:after="60"/>
              <w:jc w:val="right"/>
            </w:pPr>
            <w:bookmarkStart w:id="13" w:name="eq_13"/>
            <w:r>
              <w:t>(13)</w:t>
            </w:r>
            <w:bookmarkEnd w:id="13"/>
          </w:p>
        </w:tc>
      </w:tr>
      <w:tr w:rsidR="0028671F" w:rsidTr="00046968">
        <w:trPr>
          <w:jc w:val="center"/>
        </w:trPr>
        <w:tc>
          <w:tcPr>
            <w:tcW w:w="8352" w:type="dxa"/>
          </w:tcPr>
          <w:p w:rsidR="0028671F" w:rsidRDefault="0028671F" w:rsidP="00046968">
            <w:pPr>
              <w:spacing w:before="60" w:after="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tcPr>
          <w:p w:rsidR="0028671F" w:rsidRDefault="0028671F" w:rsidP="00046968">
            <w:pPr>
              <w:spacing w:before="60" w:after="60"/>
              <w:jc w:val="right"/>
            </w:pPr>
            <w:bookmarkStart w:id="14" w:name="eq_14"/>
            <w:r>
              <w:t>(14)</w:t>
            </w:r>
            <w:bookmarkEnd w:id="14"/>
          </w:p>
        </w:tc>
      </w:tr>
    </w:tbl>
    <w:p w:rsidR="0028671F" w:rsidRDefault="0028671F">
      <w:pPr>
        <w:pStyle w:val="H2x"/>
        <w:keepNext/>
      </w:pPr>
    </w:p>
    <w:p w:rsidR="00660A15" w:rsidRDefault="00000000">
      <w:pPr>
        <w:pStyle w:val="H1x"/>
        <w:keepNext/>
      </w:pPr>
      <w:r>
        <w:t>4. THIẾT LẬP THỰC NGHIỆM</w:t>
      </w:r>
    </w:p>
    <w:p w:rsidR="00660A15" w:rsidRDefault="00000000">
      <w:pPr>
        <w:pStyle w:val="H2x"/>
        <w:keepNext/>
      </w:pPr>
      <w:r>
        <w:t>4.1. Dữ liệu và giao thức walk-forward</w:t>
      </w:r>
    </w:p>
    <w:p w:rsidR="00660A15" w:rsidRDefault="00000000">
      <w:pPr>
        <w:spacing w:after="80" w:line="276" w:lineRule="auto" w:before="0"/>
        <w:jc w:val="both"/>
      </w:pPr>
      <w:r/>
      <w:r>
        <w:rPr>
          <w:rFonts w:ascii="Times New Roman" w:hAnsi="Times New Roman"/>
          <w:sz w:val="19"/>
        </w:rPr>
        <w:t xml:space="preserve">Dữ liệu bao phủ 03/11/2008–30/04/2026 với </w:t>
      </w:r>
      <m:oMath>
        <m:r>
          <m:t>N = 4.512</m:t>
        </m:r>
      </m:oMath>
      <w:r>
        <w:rPr>
          <w:rFonts w:ascii="Times New Roman" w:hAnsi="Times New Roman"/>
          <w:sz w:val="19"/>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19"/>
            <w:color w:val="1A56DB"/>
          </w:rPr>
          <w:t>[1]</w:t>
        </w:r>
      </w:hyperlink>
      <w:r>
        <w:rPr>
          <w:rFonts w:ascii="Times New Roman" w:hAnsi="Times New Roman"/>
          <w:sz w:val="19"/>
        </w:rPr>
        <w:t>, DXY, sản lượng dầu, crack-spread, realized volatility và biến lịch.</w:t>
      </w:r>
    </w:p>
    <w:p w:rsidR="00660A15" w:rsidRDefault="00000000">
      <w:pPr>
        <w:spacing w:after="80" w:line="276" w:lineRule="auto" w:before="0"/>
        <w:jc w:val="both"/>
      </w:pPr>
      <w:r/>
      <w:r>
        <w:rPr>
          <w:rFonts w:ascii="Times New Roman" w:hAnsi="Times New Roman"/>
          <w:sz w:val="19"/>
        </w:rPr>
        <w:t xml:space="preserve">Để tránh look-ahead bias, các biến ngày được dùng ở </w:t>
      </w:r>
      <m:oMath>
        <m:r>
          <m:t>t − 1</m:t>
        </m:r>
      </m:oMath>
      <w:r>
        <w:rPr>
          <w:rFonts w:ascii="Times New Roman" w:hAnsi="Times New Roman"/>
          <w:sz w:val="19"/>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sz w:val="19"/>
        </w:rP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chịu chuỗi cú sốc địa chính trị dồn dập và phân cụm biến động cực đoan (khủng hoảng Biển Đỏ, căng thẳng Trung Đông, xung đột Nga–Ukraine và biến động hạn ngạch OPEC+). Cụ thể, độ biến động thực tế hàng năm (annualized volatility) của lợi suất trong cửa sổ test ngắn hạn (100 ngày) tăng vọt lên 73,04% đối với MG95 (gấp 1,90 lần mức 38,45% của tập train lịch sử) và 96,29% đối với DO 0.001% (gấp 2,90 lần mức 33,16% của train). Chỉ số rủi ro địa chính trị GPR trong giai đoạn test đạt trung bình 225,66 (gần gấp đôi mức trung bình toàn kỳ 114,60) và đạt đỉnh 500,81 (phân vị 90% đạt 376,48). Biên độ dao động giá trong cửa sổ test H60 ghi nhận mức chênh lệch đỉnh–đáy cực lớn: từ 70,34 đến 170,52 USD/thùng (+142,4%) đối với MG95 và từ 75,90 đến 292,82 USD/thùng (+285,8%) đối với DO 0.001%. Chi tiết phân chia tập train/test và các đặc trưng biến động theo từng horizon được tổng hợp trong </w:t>
      </w:r>
      <w:hyperlink w:anchor="tbl_2" w:history="1">
        <w:r>
          <w:rPr>
            <w:rFonts w:ascii="Times New Roman" w:hAnsi="Times New Roman"/>
            <w:sz w:val="19"/>
            <w:color w:val="1A56DB"/>
          </w:rPr>
          <w:t>Bảng 2</w:t>
        </w:r>
      </w:hyperlink>
      <w:r>
        <w:rPr>
          <w:rFonts w:ascii="Times New Roman" w:hAnsi="Times New Roman"/>
          <w:sz w:val="19"/>
        </w:rPr>
        <w:t>. Thiết lập này đóng vai trò như một bài kiểm tra áp lực (stress-testing) thực thụ, bảo đảm các mô hình được đánh giá về khả năng thích ứng dưới các chế độ biến động đuôi dày (fat-tailed regimes) thay vì chỉ học trong điều kiện thị trường tĩnh.</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cantSplit/>
          <w:tblHeader/>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Horizon</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Cửa sổ Test</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Khoảng thời gian Test</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Ann. Vol MG95 (Train→Test)</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Ann. Vol DO (Train→Test)</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GPR Test (TB / Max)</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Biên độ giá Test (USD/thùng)</w:t>
            </w:r>
          </w:p>
        </w:tc>
      </w:tr>
      <w:tr>
        <w:trPr>
          <w:cantSplit/>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 H3, H5</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 ngày</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11/12/2025 – 30/04/2026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38,45% → 73,04% (1,90×)</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33,16% → 96,29% (2,90×)</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225,66 / 500,81</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H7</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150 ngày</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02/10/2025 – 30/04/2026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38,61% → 60,75% (1,57×)</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33,20% → 80,59% (2,43×)</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197,51 / 500,81</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H10</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200 ngày</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24/07/2025 – 30/04/2026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38,77% → 53,60% (1,38×)</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33,31% → 70,63% (2,12×)</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184,98 / 500,81</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H20</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300 ngày</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10/03/2025 – 30/04/2026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38,95% → 47,24% (1,21×)</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33,35% → 60,50% (1,81×)</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184,47 / 540,16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r>
        <w:trPr>
          <w:cantSplit/>
        </w:trPr>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H60</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600 ngày</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10/01/2024 – 30/04/2026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39,81% → 37,86% (0,95×)</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33,93% → 46,20% (1,36×)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165,51 / 540,16</w:t>
            </w:r>
          </w:p>
        </w:tc>
        <w:tc>
          <w:tcPr>
            <w:tcW w:type="dxa" w:w="1450"/>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bl>
    <w:p>
      <w:pPr>
        <w:pStyle w:val="Caption"/>
        <w:spacing w:before="120" w:after="60"/>
        <w:jc w:val="left"/>
      </w:pPr>
      <w:r/>
      <w:bookmarkStart w:id="3002" w:name="tbl_2"/>
      <w:bookmarkEnd w:id="3002"/>
      <w:r>
        <w:rPr>
          <w:rFonts w:ascii="Times New Roman" w:hAnsi="Times New Roman"/>
          <w:b w:val="0"/>
          <w:sz w:val="17"/>
        </w:rPr>
        <w:t>Bảng 2. Cấu hình phân chia tập huấn luyện/kiểm thử expanding walk-forward và đặc trưng biến động theo từng horizon.</w:t>
      </w:r>
    </w:p>
    <w:p w:rsidR="00660A15" w:rsidRPr="001A206C" w:rsidRDefault="00000000">
      <w:pPr>
        <w:pStyle w:val="H2x"/>
        <w:keepNext/>
        <w:rPr>
          <w:lang w:val="vi-VN"/>
        </w:rPr>
      </w:pPr>
      <w:r>
        <w:t>4.2.</w:t>
      </w:r>
      <w:r w:rsidR="0005157D">
        <w:rPr>
          <w:lang w:val="vi-VN"/>
        </w:rPr>
        <w:t xml:space="preserve"> Kiểm định thống kê</w:t>
      </w:r>
      <w:r>
        <w:t xml:space="preserve"> và cấu hình</w:t>
      </w:r>
      <w:r w:rsidR="0005157D">
        <w:rPr>
          <w:lang w:val="vi-VN"/>
        </w:rPr>
        <w:t xml:space="preserve"> huấn luyện</w:t>
      </w:r>
    </w:p>
    <w:p w:rsidR="00660A15" w:rsidRDefault="00000000">
      <w:pPr>
        <w:pStyle w:val="Caption"/>
        <w:spacing w:after="60" w:line="276" w:lineRule="auto" w:before="120"/>
        <w:jc w:val="left"/>
      </w:pPr>
      <w:r/>
      <w:bookmarkStart w:id="3001" w:name="tbl_1"/>
      <w:bookmarkEnd w:id="3001"/>
      <w:r>
        <w:rPr>
          <w:rFonts w:ascii="Times New Roman" w:hAnsi="Times New Roman"/>
          <w:b w:val="0"/>
          <w:sz w:val="17"/>
        </w:rPr>
        <w:t>Bảng 1. Chẩn đoán thống kê rút gọn của các chuỗi chính.</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30"/>
        <w:gridCol w:w="2029"/>
        <w:gridCol w:w="2027"/>
        <w:gridCol w:w="2029"/>
        <w:gridCol w:w="2033"/>
      </w:tblGrid>
      <w:tr w:rsidR="00660A15">
        <w:trPr>
          <w:cantSplit/>
          <w:tblHeader/>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Chuỗi</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ADF mức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KPSS mức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ADF return 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Kurtosis</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MG95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0.023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17.51</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DO 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0.505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14.69</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WTI</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0.033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213.35</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1.52</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DXY</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0.555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4.38</w:t>
            </w:r>
          </w:p>
        </w:tc>
      </w:tr>
    </w:tbl>
    <w:p w:rsidR="00660A15" w:rsidRDefault="00000000" w:rsidP="001A206C">
      <w:pPr>
        <w:pStyle w:val="Caption"/>
        <w:spacing w:before="120" w:after="60"/>
      </w:pPr>
      <w:bookmarkStart w:id="15" w:name="tbl_1"/>
      <w:bookmarkEnd w:id="15"/>
      <w:r>
        <w:rPr>
          <w:sz w:val="17"/>
        </w:rPr>
        <w:t>Bảng 1. Chẩn đoán thống kê rút gọn của các chuỗi chính.</w:t>
      </w:r>
    </w:p>
    <w:p w:rsidR="00660A15" w:rsidRDefault="00000000">
      <w:r>
        <w:t>Cài đặt</w:t>
      </w:r>
      <w:r w:rsidR="0005157D">
        <w:rPr>
          <w:lang w:val="vi-VN"/>
        </w:rPr>
        <w:t xml:space="preserve"> trong bài báo</w:t>
      </w:r>
      <w:r>
        <w:t xml:space="preserve"> sử dụng PyTorch 2.1/Python 3.10, AdamW (lr=10⁻³, weight decay=10⁻⁴), batch size 64, tối đa 100 epoch với early stopping 10. Các expert có hidden size 128, router MLP 64. Phần cứng: Xeon Silver 4216, 512 GB RAM, 4×Tesla T4 16 GB.</w:t>
      </w:r>
    </w:p>
    <w:p w:rsidR="00660A15" w:rsidRPr="001A206C" w:rsidRDefault="00000000">
      <w:pPr>
        <w:pStyle w:val="H2x"/>
        <w:keepNext/>
        <w:rPr>
          <w:lang w:val="vi-VN"/>
        </w:rPr>
      </w:pPr>
      <w:r>
        <w:t>4.3. Baseline và chỉ số</w:t>
      </w:r>
      <w:r w:rsidR="0005157D">
        <w:rPr>
          <w:lang w:val="vi-VN"/>
        </w:rPr>
        <w:t xml:space="preserve"> đánh giá</w:t>
      </w:r>
    </w:p>
    <w:p w:rsidR="00660A15" w:rsidRDefault="00000000">
      <w:pPr>
        <w:spacing w:after="80" w:line="276" w:lineRule="auto"/>
      </w:pPr>
      <w:r>
        <w:t xml:space="preserve">Các baseline </w:t>
      </w:r>
      <w:r w:rsidR="0005157D">
        <w:t>dùng</w:t>
      </w:r>
      <w:r w:rsidR="0005157D">
        <w:rPr>
          <w:lang w:val="vi-VN"/>
        </w:rPr>
        <w:t xml:space="preserve"> để so sánh</w:t>
      </w:r>
      <w:r>
        <w:t xml:space="preserve"> gồm 6 mô hình đại diện tiêu biểu: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Chronos </w:t>
      </w:r>
      <w:hyperlink w:anchor="ref_16" w:history="1">
        <w:r>
          <w:rPr>
            <w:color w:val="1A56DB"/>
          </w:rPr>
          <w:t>[16]</w:t>
        </w:r>
      </w:hyperlink>
      <w:r>
        <w:t xml:space="preserve"> và BiMamba. Các mô hình dùng chung lookback </w:t>
      </w:r>
      <m:oMath>
        <m:r>
          <w:rPr>
            <w:rFonts w:ascii="Cambria Math" w:hAnsi="Cambria Math"/>
          </w:rPr>
          <m:t>L = 30</m:t>
        </m:r>
      </m:oMath>
      <w:r>
        <w:t xml:space="preserve">, quy tắc trễ dữ liệu và giao thức walk-forward expanding. Các chỉ số đánh giá điểm gồm MAE, RMSE, MAPE (%) và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Độ chính xác xu hướng được tính theo </w:t>
      </w: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N</m:t>
            </m:r>
          </m:sup>
        </m:sSubSup>
        <m:r>
          <m:rPr>
            <m:scr m:val="double-struck"/>
          </m:rPr>
          <w:rPr>
            <w:rFonts w:ascii="Cambria Math" w:hAnsi="Cambria Math"/>
          </w:rPr>
          <m:t xml:space="preserve"> I[</m:t>
        </m:r>
        <m:r>
          <w:rPr>
            <w:rFonts w:ascii="Cambria Math" w:hAnsi="Cambria Math"/>
          </w:rPr>
          <m:t>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 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 Đánh giá phân phối xác suất sử dụng hệ số bao phủ PICP và độ rộng dải chuẩn hóa PINAW.</w:t>
      </w:r>
    </w:p>
    <w:p w:rsidR="00660A15" w:rsidRDefault="00000000">
      <w:pPr>
        <w:pStyle w:val="H1x"/>
        <w:keepNext/>
      </w:pPr>
      <w:r>
        <w:t>5. KẾT QUẢ VÀ THẢO LUẬN</w:t>
      </w:r>
    </w:p>
    <w:p w:rsidR="00660A15" w:rsidRDefault="00000000">
      <w:pPr>
        <w:pStyle w:val="H2x"/>
        <w:keepNext/>
        <w:spacing w:line="276" w:lineRule="auto" w:after="80" w:before="0"/>
        <w:jc w:val="both"/>
      </w:pPr>
      <w:r/>
      <w:hyperlink w:anchor="fig_2" w:history="1">
        <w:r>
          <w:rPr>
            <w:rFonts w:ascii="Times New Roman" w:hAnsi="Times New Roman"/>
            <w:sz w:val="19"/>
            <w:color w:val="1A56DB"/>
          </w:rPr>
          <w:t>Hình 2</w:t>
        </w:r>
      </w:hyperlink>
      <w:r>
        <w:rPr>
          <w:rFonts w:ascii="Times New Roman" w:hAnsi="Times New Roman"/>
          <w:sz w:val="19"/>
        </w:rPr>
        <w:t xml:space="preserve"> cùng </w:t>
      </w:r>
      <w:hyperlink w:anchor="tbl_3" w:history="1">
        <w:r>
          <w:rPr>
            <w:rFonts w:ascii="Times New Roman" w:hAnsi="Times New Roman"/>
            <w:sz w:val="19"/>
            <w:color w:val="1A56DB"/>
          </w:rPr>
          <w:t>Bảng 3</w:t>
        </w:r>
      </w:hyperlink>
      <w:r>
        <w:rPr>
          <w:rFonts w:ascii="Times New Roman" w:hAnsi="Times New Roman"/>
          <w:sz w:val="19"/>
        </w:rPr>
        <w:t xml:space="preserve"> và </w:t>
      </w:r>
      <w:hyperlink w:anchor="tbl_4" w:history="1">
        <w:r>
          <w:rPr>
            <w:rFonts w:ascii="Times New Roman" w:hAnsi="Times New Roman"/>
            <w:sz w:val="19"/>
            <w:color w:val="1A56DB"/>
          </w:rPr>
          <w:t>Bảng 4</w:t>
        </w:r>
      </w:hyperlink>
      <w:r>
        <w:rPr>
          <w:rFonts w:ascii="Times New Roman" w:hAnsi="Times New Roman"/>
          <w:sz w:val="19"/>
        </w:rPr>
        <w:t xml:space="preserve"> cho thấy GUMNetHet duy trì MAE thấp hơn nhóm baseline được báo cáo ở cả hai sản phẩm trên toàn bộ các horizon, đặc biệt vượt trội ở H20–H60 trong bối cảnh tập test trải qua biên độ dao động giá lên tới +142,4% (MG95) và +285,8% (DO). Ở H60, MAE của xăng là 4,847 so với 6,933 của baseline tốt nhất (giảm 30,1%); với dầu là 7,066 so với 9,167 (giảm 22,9%). Tuy nhiên, </w:t>
      </w:r>
      <m:oMath>
        <m:sSup>
          <m:e>
            <m:r>
              <m:t>R</m:t>
            </m:r>
          </m:e>
          <m:sup>
            <m:r>
              <m:t>2</m:t>
            </m:r>
          </m:sup>
        </m:sSup>
      </m:oMath>
      <w:r>
        <w:rPr>
          <w:rFonts w:ascii="Times New Roman" w:hAnsi="Times New Roman"/>
          <w:sz w:val="19"/>
        </w:rPr>
        <w:t xml:space="preserve"> tại H60 giảm còn 0,155 (xăng) và −0,007 (dầu), vì vậy kết quả dài hạn nên được hiểu là ổn định sai số mức giá tốt hơn baseline trong môi trường biến động mạnh, không phải dự báo quỹ đạo dài hạn hoàn hảo.</w:t>
      </w:r>
    </w:p>
    <w:p w:rsidR="00660A15" w:rsidRDefault="00000000">
      <w:pPr>
        <w:spacing w:after="80" w:line="276" w:lineRule="auto"/>
      </w:pPr>
      <w:hyperlink w:anchor="fig_2" w:history="1">
        <w:r>
          <w:rPr>
            <w:color w:val="1A56DB"/>
          </w:rPr>
          <w:t>Hình 2</w:t>
        </w:r>
      </w:hyperlink>
      <w:r>
        <w:t xml:space="preserve"> cùng </w:t>
      </w:r>
      <w:hyperlink w:anchor="tbl_2" w:history="1">
        <w:r>
          <w:rPr>
            <w:color w:val="1A56DB"/>
          </w:rPr>
          <w:t>Bảng 2</w:t>
        </w:r>
      </w:hyperlink>
      <w:r>
        <w:t xml:space="preserve"> và </w:t>
      </w:r>
      <w:hyperlink w:anchor="tbl_3" w:history="1">
        <w:r>
          <w:rPr>
            <w:color w:val="1A56DB"/>
          </w:rPr>
          <w:t>Bảng 3</w:t>
        </w:r>
      </w:hyperlink>
      <w:r>
        <w:t xml:space="preserve"> cho thấy GUMNetHet duy trì MAE thấp hơn nhóm baseline được báo cáo ở cả hai sản phẩm, đặc biệt ở H20–H60. Ở H60, MAE của xăng là 4,847 so với 6,933 của baseline tốt nhất (giảm 30,1%); với dầu là 7,066 so với 9,167 (giảm 22,9%). Tuy nhiên,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tại H60 giảm còn 0,155 (xăng) và −0,007 (dầu), vì vậy kết quả dài hạn nên được hiểu là ổn định sai số mức giá tốt hơn baseline, không phải dự báo quỹ đạo dài hạn hoàn hảo.</w:t>
      </w:r>
    </w:p>
    <w:p w:rsidR="00660A15" w:rsidRDefault="00000000">
      <w:pPr>
        <w:spacing w:after="20"/>
        <w:jc w:val="center"/>
      </w:pPr>
      <w:r>
        <w:rPr>
          <w:noProof/>
        </w:rPr>
        <w:lastRenderedPageBreak/>
        <w:drawing>
          <wp:inline distT="0" distB="0" distL="0" distR="0">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rsidR="00660A15" w:rsidRDefault="00000000">
      <w:pPr>
        <w:pStyle w:val="Caption"/>
        <w:spacing w:before="120" w:after="60"/>
        <w:jc w:val="left"/>
      </w:pPr>
      <w:r/>
      <w:bookmarkStart w:id="3003" w:name="tbl_3"/>
      <w:bookmarkEnd w:id="3003"/>
      <w:r>
        <w:rPr>
          <w:rFonts w:ascii="Times New Roman" w:hAnsi="Times New Roman"/>
          <w:b w:val="0"/>
          <w:sz w:val="17"/>
        </w:rPr>
        <w:t>Bảng 3. Kết quả chi tiết trên MG95 (Seed=42). MAE/RMSE tính theo USD/thùng; giá trị DA là phần trăm.</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trPr>
          <w:cantSplit/>
          <w:tblHeader/>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DA (%)</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2.7921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5.0249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0.9727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91.46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2.8834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5.1146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0.9718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61.11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2.9809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5.3918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57.07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3.1192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5.7423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59.09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3.0237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5.5721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54.55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3.3320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6.2491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54.55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3.0436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5.3617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61.62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4.6691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8.4898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91.37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4.8262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8.3000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0.9253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8.7446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40.82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8.8658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5.0211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9.2494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44.39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5.4216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10.0286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40.82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5.1084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8.7883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4.8892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8.2562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90.95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5.5400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9.0953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55.05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lastRenderedPageBreak/>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5.6939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9.6105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0.9003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38.89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5.8835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10.0733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11.2085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0.8644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53.54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5.5504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50.00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4.0695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7.6785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0.9142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95.56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8.9709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8.5689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4.32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0.8931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8.6611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4.5978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8.2653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47.26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9.1154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0.8790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8.8162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50.34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4.3970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8.9788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4.09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0.8522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42.24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48.59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4.9325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9.9338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49.87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5.1042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10.1940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50.13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4.9854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9.9668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0.8196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44.60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5.0603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10.1585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4.9070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9.9822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5.4115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10.3617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5.37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0.7262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91.65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5.8312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11.0895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0.6965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6.1280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11.4250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0.6779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44.15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7.1888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6.5672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12.5417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0.6119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48.66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6.6974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12.1714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6.43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0.6344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40.47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5.9577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11.3518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0.6820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44.48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4.8470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10.4474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5.11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0.1552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27.95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7.3983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14.1515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-0.1771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6.9327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13.6722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-0.0987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8.7212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16.0547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-0.5150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46.28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6.9707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13.7963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-0.1187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46.63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7.5070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14.4158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-0.2215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48.90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6.9722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13.8894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-0.1339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46.16</w:t>
            </w:r>
          </w:p>
        </w:tc>
      </w:tr>
    </w:tbl>
    <w:p w:rsidR="00660A15" w:rsidRDefault="00000000" w:rsidP="001A206C">
      <w:pPr>
        <w:pStyle w:val="Caption"/>
        <w:spacing w:before="120" w:after="60"/>
        <w:jc w:val="left"/>
      </w:pPr>
      <w:r/>
      <w:bookmarkStart w:id="3004" w:name="tbl_4"/>
      <w:bookmarkEnd w:id="3004"/>
      <w:r>
        <w:rPr>
          <w:rFonts w:ascii="Times New Roman" w:hAnsi="Times New Roman"/>
          <w:b w:val="0"/>
          <w:sz w:val="17"/>
        </w:rPr>
        <w:t>Bảng 4. Kết quả chi tiết trên DO 0.001% (Seed=42).</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trPr>
          <w:cantSplit/>
          <w:tblHeader/>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DA (%)</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5.6023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11.3820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3.24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0.9622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84.92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6.1468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11.8728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62.12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6.1601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12.0048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57.07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6.0768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11.8132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0.9593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58.08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6.0346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11.6526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0.9604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55.05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6.1218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11.7740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0.9595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60.10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8.8536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17.0380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0.9156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76.65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9.0363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17.6157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48.47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10.0366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19.3143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5.98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9.5007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17.9989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47.45</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9.7697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18.8569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5.86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0.8967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44.90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9.4605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18.4546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5.61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45.92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9.2159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16.2954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5.65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0.9225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76.88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10.6900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18.1687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0.9036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52.02</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10.0784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17.0064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0.9156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52.53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11.5665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19.6444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0.8873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47.98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11.4410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19.0864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6.83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41.41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10.5636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17.5114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6.27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0.9105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53.54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9.6578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18.3317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0.8733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83.28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11.0491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21.2867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0.8292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50.68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11.0220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22.1113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57.88</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11.7217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23.1415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7.70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0.7981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51.37</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10.3087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20.3122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6.79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0.8444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47.26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11.4008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23.0828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7.46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54.79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9.1926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18.3690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6.16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0.8433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32.29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19.9689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47.30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9.8507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20.6902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0.8008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9.6920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19.9194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47.04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9.8931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20.9276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0.7962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48.71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9.7097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19.8244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6.52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0.8171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46.53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9.4562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20.7135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6.85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0.7192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71.11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lastRenderedPageBreak/>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12.6691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27.0410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0.5358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47.99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12.4936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26.8776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0.5414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48.33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13.4284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28.6245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0.4799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47.16</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12.6621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27.5688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0.5175</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47.49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12.2271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25.8642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0.5753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49.33</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7.0664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18.0187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6.41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-0.0072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b/>
                <w:sz w:val="17"/>
              </w:rPr>
              <w:t>19.10</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10.1792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24.4469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-0.1894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50.21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9.3447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23.8920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-0.1360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49.64</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9.5859</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24.3673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8.01</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-0.1817</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47.89</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9.7714</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24.0682</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8.26</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-0.1528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48.21</w:t>
            </w:r>
          </w:p>
        </w:tc>
      </w:tr>
      <w:tr w:rsidR="00660A15">
        <w:trPr>
          <w:cantSplit/>
          <w:jc w:val="center"/>
        </w:trPr>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9.1668</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23.6800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7.63</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-0.1160</w:t>
            </w:r>
          </w:p>
        </w:tc>
        <w:tc>
          <w:tcPr>
            <w:tcW w:w="1450" w:type="dxa"/>
            <w:shd w:val="clear" w:color="auto" w:fill="FFFFFF"/>
            <w:tcMar>
              <w:top w:w="80" w:type="dxa"/>
              <w:left w:w="100" w:type="dxa"/>
              <w:bottom w:w="80" w:type="dxa"/>
              <w:right w:w="100" w:type="dxa"/>
            </w:tcMar>
            <w:vAlign w:val="center"/>
          </w:tcPr>
          <w:p w:rsidR="00660A15" w:rsidRDefault="00000000">
            <w:pPr>
              <w:spacing w:before="40" w:line="252" w:lineRule="auto"/>
              <w:jc w:val="center"/>
            </w:pPr>
            <w:r>
              <w:rPr>
                <w:sz w:val="17"/>
              </w:rPr>
              <w:t>47.80</w:t>
            </w:r>
          </w:p>
        </w:tc>
      </w:tr>
    </w:tbl>
    <w:p w:rsidR="00660A15" w:rsidRDefault="00000000" w:rsidP="001A206C">
      <w:pPr>
        <w:pStyle w:val="Caption"/>
        <w:spacing w:before="120" w:after="60"/>
      </w:pPr>
      <w:bookmarkStart w:id="18" w:name="tbl_3"/>
      <w:bookmarkEnd w:id="18"/>
      <w:r>
        <w:rPr>
          <w:sz w:val="17"/>
        </w:rPr>
        <w:t xml:space="preserve">Bảng 3. Kết quả chi tiết trên DO 0.001% (Seed=42). </w:t>
      </w:r>
    </w:p>
    <w:p w:rsidR="00660A15" w:rsidRDefault="00000000">
      <w:pPr>
        <w:pStyle w:val="H2x"/>
        <w:keepNext/>
        <w:spacing w:line="276" w:lineRule="auto" w:after="80" w:before="0"/>
        <w:jc w:val="both"/>
      </w:pPr>
      <w:r/>
      <w:r>
        <w:rPr>
          <w:rFonts w:ascii="Times New Roman" w:hAnsi="Times New Roman"/>
          <w:sz w:val="19"/>
        </w:rPr>
        <w:t xml:space="preserve">Độ chính xác hướng trong </w:t>
      </w:r>
      <w:hyperlink w:anchor="fig_3" w:history="1">
        <w:r>
          <w:rPr>
            <w:rFonts w:ascii="Times New Roman" w:hAnsi="Times New Roman"/>
            <w:sz w:val="19"/>
            <w:color w:val="1A56DB"/>
          </w:rPr>
          <w:t>Hình 3</w:t>
        </w:r>
      </w:hyperlink>
      <w:r>
        <w:rPr>
          <w:rFonts w:ascii="Times New Roman" w:hAnsi="Times New Roman"/>
          <w:sz w:val="19"/>
        </w:rPr>
        <w:t xml:space="preserve"> cho thấy một hành vi khác với sai số mức. Với xăng (</w:t>
      </w:r>
      <w:hyperlink w:anchor="tbl_3" w:history="1">
        <w:r>
          <w:rPr>
            <w:rFonts w:ascii="Times New Roman" w:hAnsi="Times New Roman"/>
            <w:sz w:val="19"/>
            <w:color w:val="1A56DB"/>
          </w:rPr>
          <w:t>Bảng 3</w:t>
        </w:r>
      </w:hyperlink>
      <w:r>
        <w:rPr>
          <w:rFonts w:ascii="Times New Roman" w:hAnsi="Times New Roman"/>
          <w:sz w:val="19"/>
        </w:rPr>
        <w:t>), GUMNetHet đạt 91,46%, 91,37%, 90,95% và 95,56% ở H1, H3, H5, H7; với dầu (</w:t>
      </w:r>
      <w:hyperlink w:anchor="tbl_4" w:history="1">
        <w:r>
          <w:rPr>
            <w:rFonts w:ascii="Times New Roman" w:hAnsi="Times New Roman"/>
            <w:sz w:val="19"/>
            <w:color w:val="1A56DB"/>
          </w:rPr>
          <w:t>Bảng 4</w:t>
        </w:r>
      </w:hyperlink>
      <w:r>
        <w:rPr>
          <w:rFonts w:ascii="Times New Roman" w:hAnsi="Times New Roman"/>
          <w:sz w:val="19"/>
        </w:rPr>
        <w:t>) tương ứng là 84,92%, 76,65%, 76,88% và 83,28%. Ở H20, DA vẫn cao (91,65% xăng; 71,11% dầu). Ngược lại, H10 và H60 giảm dưới 50%, lần lượt 42,24%/27,95% cho xăng và 32,29%/19,10% cho dầu. Do đó, GUMNetHet phù hợp hơn như mô hình dự báo mức và biên bất định ở horizon dài, thay vì công cụ sinh tín hiệu hướng.</w:t>
      </w:r>
    </w:p>
    <w:p w:rsidR="00660A15" w:rsidRDefault="00000000">
      <w:pPr>
        <w:spacing w:after="80" w:line="276" w:lineRule="auto"/>
      </w:pPr>
      <w:r>
        <w:t xml:space="preserve">Độ chính xác hướng trong </w:t>
      </w:r>
      <w:hyperlink w:anchor="fig_3" w:history="1">
        <w:r>
          <w:rPr>
            <w:color w:val="1A56DB"/>
          </w:rPr>
          <w:t>Hình 3</w:t>
        </w:r>
      </w:hyperlink>
      <w:r>
        <w:t xml:space="preserve"> cho thấy một hành vi khác với sai số mức. Với xăng (</w:t>
      </w:r>
      <w:hyperlink w:anchor="tbl_2" w:history="1">
        <w:r>
          <w:rPr>
            <w:color w:val="1A56DB"/>
          </w:rPr>
          <w:t>Bảng 2</w:t>
        </w:r>
      </w:hyperlink>
      <w:r>
        <w:t>), GUMNetHet đạt 91,46%, 91,37%, 90,95% và 95,56% ở H1, H3, H5, H7; với dầu (</w:t>
      </w:r>
      <w:hyperlink w:anchor="tbl_3" w:history="1">
        <w:r>
          <w:rPr>
            <w:color w:val="1A56DB"/>
          </w:rPr>
          <w:t>Bảng 3</w:t>
        </w:r>
      </w:hyperlink>
      <w:r>
        <w:t>) tương ứng là 84,92%, 76,65%, 76,88% và 83,28%. Ở H20, DA vẫn cao (91,65% xăng; 71,11% dầu). Ngược lại, H10 và H60 giảm dưới 50%, lần lượt 42,24%/27,95% cho xăng và 32,29%/19,10% cho dầu. Do đó, GUMNetHet phù hợp hơn như mô hình dự báo mức và biên bất định ở horizon dài, thay vì công cụ sinh tín hiệu hướng.</w:t>
      </w:r>
    </w:p>
    <w:p w:rsidR="00660A15" w:rsidRDefault="00000000">
      <w:pPr>
        <w:spacing w:after="20"/>
        <w:jc w:val="center"/>
      </w:pPr>
      <w:r>
        <w:rPr>
          <w:noProof/>
        </w:rPr>
        <w:drawing>
          <wp:inline distT="0" distB="0" distL="0" distR="0">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rsidR="00660A15" w:rsidRDefault="00000000">
      <w:pPr>
        <w:pStyle w:val="Caption"/>
        <w:spacing w:before="60" w:after="120"/>
      </w:pPr>
      <w:bookmarkStart w:id="19" w:name="fig_3"/>
      <w:bookmarkEnd w:id="19"/>
      <w:r>
        <w:rPr>
          <w:sz w:val="16"/>
        </w:rPr>
        <w:t>Hình 3. Directional accuracy (DA%) của GUMNetHet và các baseline qua H1–H60 cho xăng và dầu.</w:t>
      </w:r>
    </w:p>
    <w:p w:rsidR="00660A15" w:rsidRDefault="00000000">
      <w:pPr>
        <w:pStyle w:val="H2x"/>
        <w:keepNext/>
        <w:spacing w:line="276" w:lineRule="auto" w:after="80" w:before="0"/>
        <w:jc w:val="both"/>
      </w:pPr>
      <w:r/>
      <w:r>
        <w:rPr>
          <w:rFonts w:ascii="Times New Roman" w:hAnsi="Times New Roman"/>
          <w:sz w:val="19"/>
        </w:rPr>
        <w:t xml:space="preserve">Khoảng </w:t>
      </w:r>
      <m:oMath>
        <m:r>
          <m:t>[</m:t>
        </m:r>
        <m:sSub>
          <m:e>
            <m:r>
              <m:t>q</m:t>
            </m:r>
          </m:e>
          <m:sub>
            <m:r>
              <m:t>0.1</m:t>
            </m:r>
          </m:sub>
        </m:sSub>
        <m:r>
          <m:t>, </m:t>
        </m:r>
        <m:sSub>
          <m:e>
            <m:r>
              <m:t>q</m:t>
            </m:r>
          </m:e>
          <m:sub>
            <m:r>
              <m:t>0.9</m:t>
            </m:r>
          </m:sub>
        </m:sSub>
        <m:r>
          <m:t>]</m:t>
        </m:r>
      </m:oMath>
      <w:r>
        <w:rPr>
          <w:rFonts w:ascii="Times New Roman" w:hAnsi="Times New Roman"/>
          <w:sz w:val="19"/>
        </w:rPr>
        <w:t xml:space="preserve"> đạt PICP=82,4% so với danh định 80% và PINAW=0,142. </w:t>
      </w:r>
      <w:hyperlink w:anchor="fig_4" w:history="1">
        <w:r>
          <w:rPr>
            <w:rFonts w:ascii="Times New Roman" w:hAnsi="Times New Roman"/>
            <w:sz w:val="19"/>
            <w:color w:val="1A56DB"/>
          </w:rPr>
          <w:t>Hình 4</w:t>
        </w:r>
      </w:hyperlink>
      <w:r>
        <w:rPr>
          <w:rFonts w:ascii="Times New Roman" w:hAnsi="Times New Roman"/>
          <w:sz w:val="19"/>
        </w:rPr>
        <w:t xml:space="preserve"> cho thấy biên bất định mở rộng khi biến động tăng. Ablation trong </w:t>
      </w:r>
      <w:hyperlink w:anchor="tbl_5" w:history="1">
        <w:r>
          <w:rPr>
            <w:rFonts w:ascii="Times New Roman" w:hAnsi="Times New Roman"/>
            <w:sz w:val="19"/>
            <w:color w:val="1A56DB"/>
          </w:rPr>
          <w:t>Bảng 5</w:t>
        </w:r>
      </w:hyperlink>
      <w:r>
        <w:rPr>
          <w:rFonts w:ascii="Times New Roman" w:hAnsi="Times New Roman"/>
          <w:sz w:val="19"/>
        </w:rPr>
        <w:t xml:space="preserve"> cho thấy thay Wav-KAN bằng MLP gây suy giảm lớn nhất trong các biến thể expert; router đồng nhất cũng làm MAE tăng đáng kể, củng cố vai trò của chuyên môn hóa và định tuyến thích ứng.</w:t>
      </w:r>
    </w:p>
    <w:p w:rsidR="00660A15" w:rsidRDefault="00000000">
      <w:pPr>
        <w:pStyle w:val="Caption"/>
        <w:spacing w:after="60" w:line="276" w:lineRule="auto" w:before="120"/>
        <w:jc w:val="left"/>
      </w:pPr>
      <w:r/>
      <w:bookmarkStart w:id="3005" w:name="tbl_5"/>
      <w:bookmarkEnd w:id="3005"/>
      <w:r>
        <w:rPr>
          <w:rFonts w:ascii="Times New Roman" w:hAnsi="Times New Roman"/>
          <w:b w:val="0"/>
          <w:sz w:val="17"/>
        </w:rPr>
        <w:t>Bảng 5. Ablation rút gọn của GUMNetHet (Seed=42).</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41"/>
        <w:gridCol w:w="2028"/>
        <w:gridCol w:w="2028"/>
        <w:gridCol w:w="2027"/>
        <w:gridCol w:w="2024"/>
      </w:tblGrid>
      <w:tr w:rsidR="00660A15">
        <w:trPr>
          <w:cantSplit/>
          <w:tblHeader/>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Biến thể</w:t>
            </w:r>
          </w:p>
        </w:tc>
        <w:tc>
          <w:tcPr>
            <w:tcW w:w="2075" w:type="dxa"/>
            <w:shd w:val="clear" w:color="auto" w:fill="FFFFFF"/>
            <w:tcMar>
              <w:top w:w="80" w:type="dxa"/>
              <w:left w:w="35" w:type="dxa"/>
              <w:bottom w:w="80" w:type="dxa"/>
              <w:right w:w="35" w:type="dxa"/>
            </w:tcMar>
            <w:vAlign w:val="center"/>
          </w:tcPr>
          <w:p w:rsidR="00660A15" w:rsidRDefault="00A55067">
            <w:pPr>
              <w:spacing w:before="40" w:line="252" w:lineRule="auto"/>
              <w:jc w:val="center"/>
            </w:pPr>
            <w:r>
              <w:rPr>
                <w:b/>
                <w:sz w:val="17"/>
              </w:rPr>
              <w:t>MG</w:t>
            </w:r>
            <w:r>
              <w:rPr>
                <w:b/>
                <w:sz w:val="17"/>
                <w:lang w:val="vi-VN"/>
              </w:rPr>
              <w:t>95</w:t>
            </w:r>
            <w:r w:rsidR="00000000">
              <w:rPr>
                <w:b/>
                <w:sz w:val="17"/>
              </w:rPr>
              <w:t>-H3 MAE</w:t>
            </w:r>
          </w:p>
        </w:tc>
        <w:tc>
          <w:tcPr>
            <w:tcW w:w="2075" w:type="dxa"/>
            <w:shd w:val="clear" w:color="auto" w:fill="FFFFFF"/>
            <w:tcMar>
              <w:top w:w="80" w:type="dxa"/>
              <w:left w:w="35" w:type="dxa"/>
              <w:bottom w:w="80" w:type="dxa"/>
              <w:right w:w="35" w:type="dxa"/>
            </w:tcMar>
            <w:vAlign w:val="center"/>
          </w:tcPr>
          <w:p w:rsidR="00660A15" w:rsidRDefault="00A55067">
            <w:pPr>
              <w:spacing w:before="40" w:line="252" w:lineRule="auto"/>
              <w:jc w:val="center"/>
            </w:pPr>
            <w:r>
              <w:rPr>
                <w:b/>
                <w:sz w:val="17"/>
              </w:rPr>
              <w:t>MG</w:t>
            </w:r>
            <w:r>
              <w:rPr>
                <w:b/>
                <w:sz w:val="17"/>
                <w:lang w:val="vi-VN"/>
              </w:rPr>
              <w:t>95</w:t>
            </w:r>
            <w:r w:rsidR="00000000">
              <w:rPr>
                <w:b/>
                <w:sz w:val="17"/>
              </w:rPr>
              <w:t>-H3 R²</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D</w:t>
            </w:r>
            <w:r w:rsidR="00A55067">
              <w:rPr>
                <w:b/>
                <w:sz w:val="17"/>
              </w:rPr>
              <w:t>O</w:t>
            </w:r>
            <w:r>
              <w:rPr>
                <w:b/>
                <w:sz w:val="17"/>
              </w:rPr>
              <w:t>-H5 MAE</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D</w:t>
            </w:r>
            <w:r w:rsidR="00A55067">
              <w:rPr>
                <w:b/>
                <w:sz w:val="17"/>
              </w:rPr>
              <w:t>O</w:t>
            </w:r>
            <w:r>
              <w:rPr>
                <w:b/>
                <w:sz w:val="17"/>
              </w:rPr>
              <w:t>-H5 R²</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b/>
                <w:sz w:val="17"/>
              </w:rPr>
              <w:t>GUMNetHet đầy đủ</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4.669</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0.922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9.216</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b/>
                <w:sz w:val="17"/>
              </w:rPr>
              <w:t>0.923</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Wav-KAN→MLP</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5.142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0.885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10.852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0.865</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−GRU</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4.985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0.901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10.124</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0.891</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CNN chỉ k=3</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4.892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0.910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9.854</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0.904</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4.821</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0.912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9.980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0.898</w:t>
            </w:r>
          </w:p>
        </w:tc>
      </w:tr>
      <w:tr w:rsidR="00660A15">
        <w:trPr>
          <w:cantSplit/>
          <w:jc w:val="center"/>
        </w:trPr>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left"/>
            </w:pPr>
            <w:r>
              <w:rPr>
                <w:sz w:val="17"/>
              </w:rPr>
              <w:lastRenderedPageBreak/>
              <w:t>Router đồng nhất</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5.012</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0.895</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10.450</w:t>
            </w:r>
          </w:p>
        </w:tc>
        <w:tc>
          <w:tcPr>
            <w:tcW w:w="2075" w:type="dxa"/>
            <w:shd w:val="clear" w:color="auto" w:fill="FFFFFF"/>
            <w:tcMar>
              <w:top w:w="80" w:type="dxa"/>
              <w:left w:w="35" w:type="dxa"/>
              <w:bottom w:w="80" w:type="dxa"/>
              <w:right w:w="35" w:type="dxa"/>
            </w:tcMar>
            <w:vAlign w:val="center"/>
          </w:tcPr>
          <w:p w:rsidR="00660A15" w:rsidRDefault="00000000">
            <w:pPr>
              <w:spacing w:before="40" w:line="252" w:lineRule="auto"/>
              <w:jc w:val="center"/>
            </w:pPr>
            <w:r>
              <w:rPr>
                <w:sz w:val="17"/>
              </w:rPr>
              <w:t>0.879</w:t>
            </w:r>
          </w:p>
        </w:tc>
      </w:tr>
    </w:tbl>
    <w:p w:rsidR="00660A15" w:rsidRDefault="00000000" w:rsidP="001A206C">
      <w:pPr>
        <w:pStyle w:val="Caption"/>
        <w:spacing w:before="120" w:after="60"/>
      </w:pPr>
      <w:bookmarkStart w:id="20" w:name="tbl_4"/>
      <w:bookmarkEnd w:id="20"/>
      <w:r>
        <w:rPr>
          <w:sz w:val="17"/>
        </w:rPr>
        <w:t>Bảng 4. Ablation rút gọn của GUMNetHet (Seed=42).</w:t>
      </w:r>
    </w:p>
    <w:p w:rsidR="00660A15" w:rsidRDefault="0005157D">
      <w:pPr>
        <w:spacing w:after="80" w:line="276" w:lineRule="auto"/>
      </w:pPr>
      <w:r>
        <w:t>Kết</w:t>
      </w:r>
      <w:r>
        <w:rPr>
          <w:lang w:val="vi-VN"/>
        </w:rPr>
        <w:t xml:space="preserve"> quả thực nghiệm</w:t>
      </w:r>
      <w:r w:rsidR="00000000">
        <w:t xml:space="preserve"> ghi nhận rằng loại bỏ residual scaling làm MAE tăng khoảng 8,5%/6,3% ở H20 và 14,1%/11,8% ở H60 cho xăng/dầu. Phân tích router trong </w:t>
      </w:r>
      <w:hyperlink w:anchor="fig_4" w:history="1">
        <w:r w:rsidR="00000000">
          <w:rPr>
            <w:color w:val="1A56DB"/>
          </w:rPr>
          <w:t>Hình 4</w:t>
        </w:r>
      </w:hyperlink>
      <w:r w:rsidR="00000000">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rsidR="00660A15" w:rsidRDefault="00000000">
      <w:pPr>
        <w:spacing w:after="20"/>
        <w:jc w:val="center"/>
      </w:pPr>
      <w:r>
        <w:rPr>
          <w:noProof/>
        </w:rPr>
        <w:drawing>
          <wp:inline distT="0" distB="0" distL="0" distR="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rsidR="00660A15" w:rsidRDefault="00000000">
      <w:pPr>
        <w:pStyle w:val="Caption"/>
        <w:spacing w:before="60" w:after="120"/>
      </w:pPr>
      <w:bookmarkStart w:id="21" w:name="fig_4"/>
      <w:bookmarkEnd w:id="21"/>
      <w:r>
        <w:rPr>
          <w:sz w:val="16"/>
        </w:rPr>
        <w:t>Hình 4. Trên: fan chart đa phân vị dưới biến động mạnh. Dưới: trọng số router trong chế độ GPR thấp và GPR cao.</w:t>
      </w:r>
    </w:p>
    <w:p w:rsidR="00660A15" w:rsidRDefault="00000000">
      <w:pPr>
        <w:pStyle w:val="H1x"/>
        <w:keepNext/>
      </w:pPr>
      <w:bookmarkStart w:id="22" w:name="tbl_5"/>
      <w:bookmarkEnd w:id="22"/>
      <w:r>
        <w:t>7. KẾT LUẬN</w:t>
      </w:r>
    </w:p>
    <w:p w:rsidR="00663731" w:rsidRDefault="00663731" w:rsidP="00663731">
      <w:pPr>
        <w:spacing w:after="80" w:line="276" w:lineRule="auto"/>
      </w:pPr>
      <w: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rsidR="00663731" w:rsidRDefault="00663731" w:rsidP="00663731">
      <w:pPr>
        <w:spacing w:after="80" w:line="276" w:lineRule="auto"/>
      </w:pPr>
      <w:r>
        <w:t>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R²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rsidR="00660A15" w:rsidRDefault="00663731" w:rsidP="00663731">
      <w:pPr>
        <w:spacing w:after="80" w:line="276" w:lineRule="auto"/>
      </w:pPr>
      <w:r>
        <w:t>Trong tương lai, nghiên cứu sẽ tập trung vào đánh giá multi-seed, bổ sung probabilistic baselines, kiểm định thống kê cho dự báo multi-step và tích hợp biểu diễn tin tức địa chính trị theo thời gian thực.</w:t>
      </w:r>
    </w:p>
    <w:p w:rsidR="00660A15" w:rsidRDefault="00000000">
      <w:pPr>
        <w:pStyle w:val="H1x"/>
        <w:keepNext/>
      </w:pPr>
      <w:r>
        <w:t>TÀI LIỆU THAM KHẢO</w:t>
      </w:r>
    </w:p>
    <w:p w:rsidR="00660A15" w:rsidRDefault="00000000">
      <w:pPr>
        <w:pStyle w:val="Refs"/>
        <w:spacing w:after="30"/>
      </w:pPr>
      <w:r>
        <w:t>[1] D. Caldara and M. Iacoviello, "Measuring geopolitical risk," American Economic Review, vol. 112, no. 4, pp. 1194–1225, 2022.</w:t>
      </w:r>
    </w:p>
    <w:p w:rsidR="00660A15" w:rsidRDefault="00000000">
      <w:pPr>
        <w:pStyle w:val="Refs"/>
        <w:spacing w:after="30"/>
      </w:pPr>
      <w:r>
        <w:t>[2] L. Kilian, "Not all oil price shocks are alike: Disentangling demand and supply shocks in the crude oil market," American Economic Review, vol. 99, no. 3, pp. 1053–1069, 2009.</w:t>
      </w:r>
    </w:p>
    <w:p w:rsidR="00660A15" w:rsidRDefault="00000000">
      <w:pPr>
        <w:pStyle w:val="Refs"/>
        <w:spacing w:after="30"/>
      </w:pPr>
      <w:r>
        <w:t>[3] C. Baumeister and L. Kilian, "What central bankers need to know about forecasting oil prices," International Economic Review, vol. 57, no. 3, pp. 869–896, 2016.</w:t>
      </w:r>
    </w:p>
    <w:p w:rsidR="00660A15" w:rsidRDefault="00000000">
      <w:pPr>
        <w:pStyle w:val="Refs"/>
        <w:spacing w:after="30"/>
      </w:pPr>
      <w:r>
        <w:t>[4] D. A. Dickey and W. A. Fuller, "Distribution of the estimators for autoregressive time series with a unit root," Journal of the American Statistical Association, vol. 74, no. 366a, pp. 427–431, 1979.</w:t>
      </w:r>
    </w:p>
    <w:p w:rsidR="00660A15" w:rsidRDefault="00000000">
      <w:pPr>
        <w:pStyle w:val="Refs"/>
        <w:spacing w:after="30"/>
      </w:pPr>
      <w:r>
        <w:t>[5] F. X. Diebold and R. S. Mariano, "Comparing predictive accuracy," Journal of Business &amp; Economic Statistics, vol. 13, no. 3, pp. 253–263, 1995.</w:t>
      </w:r>
    </w:p>
    <w:p w:rsidR="00660A15" w:rsidRDefault="00000000">
      <w:pPr>
        <w:pStyle w:val="Refs"/>
        <w:spacing w:after="30"/>
      </w:pPr>
      <w:r>
        <w:lastRenderedPageBreak/>
        <w:t>[6] T. Gneiting and A. E. Raftery, "Strictly proper scoring rules, prediction, and estimation," Journal of the American Statistical Association, vol. 102, no. 477, pp. 359–378, 2007.</w:t>
      </w:r>
    </w:p>
    <w:p w:rsidR="00660A15" w:rsidRDefault="00000000">
      <w:pPr>
        <w:pStyle w:val="Refs"/>
        <w:spacing w:after="30"/>
      </w:pPr>
      <w:r>
        <w:t>[7] R. J. Hyndman and A. B. Koehler, "Another look at measures of forecast accuracy," International Journal of Forecasting, vol. 22, no. 4, pp. 679–688, 2006.</w:t>
      </w:r>
    </w:p>
    <w:p w:rsidR="00660A15" w:rsidRDefault="00000000">
      <w:pPr>
        <w:pStyle w:val="Refs"/>
        <w:spacing w:after="30"/>
      </w:pPr>
      <w:r>
        <w:t>[8] Y. Nie, N. H. Nguyen, P. Sinthong, and J. Kalagnanam, "A time series is worth 64 words: Long-term forecasting with transformers," in Proc. ICLR, 2023.</w:t>
      </w:r>
    </w:p>
    <w:p w:rsidR="00660A15" w:rsidRDefault="00000000">
      <w:pPr>
        <w:pStyle w:val="Refs"/>
        <w:spacing w:after="30"/>
      </w:pPr>
      <w:r>
        <w:t>[9] Y. Liu, T. Hu, H. Zhang, H. Wu, S. Wang, L. Ma, and M. Long, "iTransformer: Inverted transformers are effective for time series forecasting," in Proc. ICLR, 2024.</w:t>
      </w:r>
    </w:p>
    <w:p w:rsidR="00660A15" w:rsidRDefault="00000000">
      <w:pPr>
        <w:pStyle w:val="Refs"/>
        <w:spacing w:after="30"/>
      </w:pPr>
      <w:r>
        <w:t>[10] H. Wu, T. Hu, Y. Liu, H. Zhou, J. Wang, and M. Long, "TimesNet: Temporal 2D-variation modeling for general time series analysis," in Proc. ICLR, 2023.</w:t>
      </w:r>
    </w:p>
    <w:p w:rsidR="00660A15" w:rsidRDefault="00000000">
      <w:pPr>
        <w:pStyle w:val="Refs"/>
        <w:spacing w:after="30"/>
      </w:pPr>
      <w:r>
        <w:t>[11] A. Zeng, M. Chen, L. Zhang, and Q. Xu, "Are transformers effective for time series forecasting?" in Proc. AAAI, vol. 37, no. 9, 2023, pp. 11121–11128.</w:t>
      </w:r>
    </w:p>
    <w:p w:rsidR="00660A15" w:rsidRDefault="00000000">
      <w:pPr>
        <w:pStyle w:val="Refs"/>
        <w:spacing w:after="30"/>
      </w:pPr>
      <w:r>
        <w:t>[12] B. Lim, S. Ö. Arık, N. Loeff, and T. Pfister, "Temporal Fusion Transformers for interpretable multi-horizon time series forecasting," International Journal of Forecasting, vol. 37, no. 4, pp. 1748–1764, 2021.</w:t>
      </w:r>
    </w:p>
    <w:p w:rsidR="00660A15" w:rsidRDefault="00000000">
      <w:pPr>
        <w:pStyle w:val="Refs"/>
        <w:spacing w:after="30"/>
      </w:pPr>
      <w:r>
        <w:t>[13] B. N. Oreshkin, D. Carpov, N. Chapados, and Y. Bengio, "N-BEATS: Neural basis expansion analysis for interpretable time series forecasting," in Proc. ICLR, 2020.</w:t>
      </w:r>
    </w:p>
    <w:p w:rsidR="00660A15" w:rsidRDefault="00000000">
      <w:pPr>
        <w:pStyle w:val="Refs"/>
        <w:spacing w:after="30"/>
      </w:pPr>
      <w:r>
        <w:t>[14] C. Challu, K. G. Olivares, B. N. Oreshkin, F. Garza, M. Mergenthaler-Canseco, and A. Dubrawski, "N-HiTS: Neural hierarchical interpolation for time series forecasting," in Proc. AAAI, vol. 37, no. 6, 2023, pp. 6989–6997.</w:t>
      </w:r>
    </w:p>
    <w:p w:rsidR="00660A15" w:rsidRDefault="00000000">
      <w:pPr>
        <w:pStyle w:val="Refs"/>
        <w:spacing w:after="30"/>
      </w:pPr>
      <w:r>
        <w:t>[15] A. Gu and T. Dao, "Mamba: Linear-time sequence modeling with selective state spaces," arXiv preprint arXiv:2312.00752, 2023.</w:t>
      </w:r>
    </w:p>
    <w:p w:rsidR="00660A15" w:rsidRDefault="00000000">
      <w:pPr>
        <w:pStyle w:val="Refs"/>
        <w:spacing w:after="30"/>
      </w:pPr>
      <w:r>
        <w:t>[16] A. F. Ansari et al., "Chronos: Learning the language of time series," Transactions on Machine Learning Research, 2024.</w:t>
      </w:r>
    </w:p>
    <w:p w:rsidR="00660A15" w:rsidRDefault="00000000">
      <w:pPr>
        <w:pStyle w:val="Refs"/>
        <w:spacing w:after="30"/>
      </w:pPr>
      <w:r>
        <w:t>[17] A. Das, W. Kong, R. Sen, and Y. Zhou, "A decoder-only foundation model for time-series forecasting," in Proc. ICML, 2024.</w:t>
      </w:r>
    </w:p>
    <w:p w:rsidR="00660A15" w:rsidRDefault="00000000">
      <w:pPr>
        <w:pStyle w:val="Refs"/>
        <w:spacing w:after="30"/>
      </w:pPr>
      <w:r>
        <w:t>[18] G. Woo, C. Liu, A. Kumar, C. Xiong, S. Savarese, and D. Sahoo, "Unified training of universal time series forecasting transformers," in Proc. ICML, 2024.</w:t>
      </w:r>
    </w:p>
    <w:p w:rsidR="00660A15" w:rsidRDefault="00000000">
      <w:pPr>
        <w:pStyle w:val="Refs"/>
        <w:spacing w:after="30"/>
      </w:pPr>
      <w:r>
        <w:t>[19] V. Ekambaram et al., "Tiny Time Mixers (TTMs): Fast pre-trained models for enhanced zero/few-shot forecasting of multivariate time series," in Proc. NeurIPS, 2024.</w:t>
      </w:r>
    </w:p>
    <w:p w:rsidR="00660A15" w:rsidRDefault="00000000">
      <w:pPr>
        <w:pStyle w:val="Refs"/>
        <w:spacing w:after="30"/>
      </w:pPr>
      <w:r>
        <w:t>[20] R. A. Jacobs, M. I. Jordan, S. J. Nowlan, and G. E. Hinton, "Adaptive mixtures of local experts," Neural Computation, vol. 3, no. 1, pp. 79–87, 1991.</w:t>
      </w:r>
    </w:p>
    <w:p w:rsidR="00660A15" w:rsidRDefault="00000000">
      <w:pPr>
        <w:pStyle w:val="Refs"/>
        <w:spacing w:after="30"/>
      </w:pPr>
      <w:r>
        <w:t>[21] N. Shazeer et al., "Outrageously large neural networks: The sparsely-gated mixture-of-experts layer," in Proc. ICLR, 2017.</w:t>
      </w:r>
    </w:p>
    <w:p w:rsidR="00660A15" w:rsidRDefault="00000000">
      <w:pPr>
        <w:pStyle w:val="Refs"/>
        <w:spacing w:after="30"/>
      </w:pPr>
      <w:r>
        <w:t>[22] W. Fedus, B. Zoph, and N. Shazeer, "Switch Transformers: Scaling to trillion parameter models with simple and efficient sparsity," Journal of Machine Learning Research, vol. 23, no. 120, pp. 1–39, 2022.</w:t>
      </w:r>
    </w:p>
    <w:p w:rsidR="00660A15" w:rsidRDefault="00000000">
      <w:pPr>
        <w:pStyle w:val="Refs"/>
        <w:spacing w:after="30"/>
      </w:pPr>
      <w:r>
        <w:t>[23] Z. Liu et al., "KAN: Kolmogorov–Arnold Networks," arXiv preprint arXiv:2404.19756, 2024.</w:t>
      </w:r>
    </w:p>
    <w:p w:rsidR="00660A15" w:rsidRDefault="00000000">
      <w:pPr>
        <w:pStyle w:val="Refs"/>
        <w:spacing w:after="30"/>
      </w:pPr>
      <w:r>
        <w:t>[24] Z. Bozorgasl and H. Chen, "Wav-KAN: Wavelet Kolmogorov–Arnold networks," arXiv preprint arXiv:2405.12832, 2024.</w:t>
      </w:r>
    </w:p>
    <w:p w:rsidR="00660A15" w:rsidRDefault="00000000">
      <w:pPr>
        <w:pStyle w:val="Refs"/>
        <w:spacing w:after="30"/>
      </w:pPr>
      <w:r>
        <w:t>[25] I. Daubechies, Ten Lectures on Wavelets. Philadelphia, PA, USA: SIAM, 1992.</w:t>
      </w:r>
    </w:p>
    <w:p w:rsidR="00660A15" w:rsidRDefault="00000000">
      <w:pPr>
        <w:pStyle w:val="Refs"/>
        <w:spacing w:after="30"/>
      </w:pPr>
      <w:r>
        <w:t>[26] X. Shi et al., "Time-MoE: Billion-scale time series foundation models with mixture of experts," in Proc. ICLR, 2025.</w:t>
      </w:r>
    </w:p>
    <w:p w:rsidR="00660A15" w:rsidRDefault="00000000">
      <w:pPr>
        <w:pStyle w:val="Refs"/>
        <w:spacing w:after="30"/>
      </w:pPr>
      <w:r>
        <w:t>[27] S. Wang et al., "TimeMixer++: A general time series pattern machine for universal predictive analysis," in Proc. ICLR, 2025.</w:t>
      </w:r>
    </w:p>
    <w:p w:rsidR="00660A15" w:rsidRDefault="00000000">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CE0" w:rsidRDefault="00AA0CE0">
      <w:pPr>
        <w:spacing w:after="0"/>
      </w:pPr>
      <w:r>
        <w:separator/>
      </w:r>
    </w:p>
  </w:endnote>
  <w:endnote w:type="continuationSeparator" w:id="0">
    <w:p w:rsidR="00AA0CE0" w:rsidRDefault="00AA0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CE0" w:rsidRDefault="00AA0CE0">
      <w:pPr>
        <w:spacing w:after="0"/>
      </w:pPr>
      <w:r>
        <w:separator/>
      </w:r>
    </w:p>
  </w:footnote>
  <w:footnote w:type="continuationSeparator" w:id="0">
    <w:p w:rsidR="00AA0CE0" w:rsidRDefault="00AA0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96033">
    <w:abstractNumId w:val="8"/>
  </w:num>
  <w:num w:numId="2" w16cid:durableId="1171219756">
    <w:abstractNumId w:val="6"/>
  </w:num>
  <w:num w:numId="3" w16cid:durableId="1584534330">
    <w:abstractNumId w:val="5"/>
  </w:num>
  <w:num w:numId="4" w16cid:durableId="408426492">
    <w:abstractNumId w:val="4"/>
  </w:num>
  <w:num w:numId="5" w16cid:durableId="1643466441">
    <w:abstractNumId w:val="7"/>
  </w:num>
  <w:num w:numId="6" w16cid:durableId="1481458559">
    <w:abstractNumId w:val="3"/>
  </w:num>
  <w:num w:numId="7" w16cid:durableId="1432354907">
    <w:abstractNumId w:val="2"/>
  </w:num>
  <w:num w:numId="8" w16cid:durableId="1798404572">
    <w:abstractNumId w:val="1"/>
  </w:num>
  <w:num w:numId="9" w16cid:durableId="978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A206C"/>
    <w:rsid w:val="002571A7"/>
    <w:rsid w:val="0028671F"/>
    <w:rsid w:val="0029639D"/>
    <w:rsid w:val="002D2C78"/>
    <w:rsid w:val="00326F90"/>
    <w:rsid w:val="00660A15"/>
    <w:rsid w:val="00663731"/>
    <w:rsid w:val="00757149"/>
    <w:rsid w:val="00841901"/>
    <w:rsid w:val="00A55067"/>
    <w:rsid w:val="00AA0CE0"/>
    <w:rsid w:val="00AA1D8D"/>
    <w:rsid w:val="00AD4FB3"/>
    <w:rsid w:val="00B47730"/>
    <w:rsid w:val="00CB0664"/>
    <w:rsid w:val="00EC40AD"/>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69B"/>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9</cp:revision>
  <dcterms:created xsi:type="dcterms:W3CDTF">2026-08-29T07:37:00Z</dcterms:created>
  <dcterms:modified xsi:type="dcterms:W3CDTF">2026-08-29T08:10:00Z</dcterms:modified>
  <cp:category/>
</cp:coreProperties>
</file>