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240" w:after="240" w:line="276" w:lineRule="auto"/>
        <w:jc w:val="center"/>
      </w:pPr>
      <w:r>
        <w:rPr>
          <w:rFonts w:ascii="Times New Roman" w:hAnsi="Times New Roman"/>
          <w:b/>
          <w:sz w:val="48"/>
        </w:rPr>
        <w:t>Robust Probabilistic Energy Forecasting under Geopolitical Shocks: An Adaptive Mixture of Local-Global Experts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489"/>
        <w:gridCol w:w="3489"/>
        <w:gridCol w:w="3489"/>
      </w:tblGrid>
      <w:tr>
        <w:tc>
          <w:tcPr>
            <w:tcW w:type="dxa" w:w="3485"/>
            <w:vAlign w:val="top"/>
          </w:tcPr>
          <w:p>
            <w:pPr>
              <w:pStyle w:val="Author"/>
              <w:spacing w:line="252" w:lineRule="auto" w:before="0" w:after="40"/>
              <w:jc w:val="center"/>
            </w:pPr>
            <w:r>
              <w:rPr>
                <w:rFonts w:ascii="Times New Roman" w:hAnsi="Times New Roman"/>
                <w:b/>
                <w:sz w:val="20"/>
              </w:rPr>
              <w:t>1</w:t>
            </w:r>
            <w:r>
              <w:rPr>
                <w:rFonts w:ascii="Times New Roman" w:hAnsi="Times New Roman"/>
                <w:b/>
                <w:sz w:val="20"/>
                <w:vertAlign w:val="superscript"/>
              </w:rPr>
              <w:t>st</w:t>
            </w:r>
            <w:r>
              <w:rPr>
                <w:rFonts w:ascii="Times New Roman" w:hAnsi="Times New Roman"/>
                <w:b/>
                <w:sz w:val="20"/>
              </w:rPr>
              <w:t xml:space="preserve"> Nguyễn Phước Anh Dũng</w:t>
              <w:br/>
            </w:r>
            <w:r>
              <w:rPr>
                <w:rFonts w:ascii="Times New Roman" w:hAnsi="Times New Roman"/>
                <w:i/>
                <w:sz w:val="18"/>
              </w:rPr>
              <w:t>Khoa Công nghệ Thông tin</w:t>
              <w:br/>
            </w:r>
            <w:r>
              <w:rPr>
                <w:rFonts w:ascii="Times New Roman" w:hAnsi="Times New Roman"/>
                <w:i/>
                <w:sz w:val="18"/>
              </w:rPr>
              <w:t>Trường Đại học Công nghệ</w:t>
              <w:br/>
              <w:t>TP.HCM (HUTECH)</w:t>
              <w:br/>
            </w:r>
            <w:r>
              <w:rPr>
                <w:rFonts w:ascii="Times New Roman" w:hAnsi="Times New Roman"/>
                <w:sz w:val="18"/>
              </w:rPr>
              <w:t>TP. Hồ Chí Minh, Việt Nam</w:t>
              <w:br/>
            </w:r>
            <w:r>
              <w:rPr>
                <w:rFonts w:ascii="Times New Roman" w:hAnsi="Times New Roman"/>
                <w:sz w:val="18"/>
              </w:rPr>
              <w:t>anhdungnguyen955@gmail.com</w:t>
            </w:r>
          </w:p>
        </w:tc>
        <w:tc>
          <w:tcPr>
            <w:tcW w:type="dxa" w:w="3485"/>
            <w:vAlign w:val="top"/>
          </w:tcPr>
          <w:p>
            <w:pPr>
              <w:pStyle w:val="Author"/>
              <w:spacing w:line="252" w:lineRule="auto" w:before="0" w:after="40"/>
              <w:jc w:val="center"/>
            </w:pPr>
            <w:r>
              <w:rPr>
                <w:rFonts w:ascii="Times New Roman" w:hAnsi="Times New Roman"/>
                <w:b/>
                <w:sz w:val="20"/>
              </w:rPr>
              <w:t>2</w:t>
            </w:r>
            <w:r>
              <w:rPr>
                <w:rFonts w:ascii="Times New Roman" w:hAnsi="Times New Roman"/>
                <w:b/>
                <w:sz w:val="20"/>
                <w:vertAlign w:val="superscript"/>
              </w:rPr>
              <w:t>nd</w:t>
            </w:r>
            <w:r>
              <w:rPr>
                <w:rFonts w:ascii="Times New Roman" w:hAnsi="Times New Roman"/>
                <w:b/>
                <w:sz w:val="20"/>
              </w:rPr>
              <w:t xml:space="preserve"> Bùi Danh Hường*</w:t>
              <w:br/>
            </w:r>
            <w:r>
              <w:rPr>
                <w:rFonts w:ascii="Times New Roman" w:hAnsi="Times New Roman"/>
                <w:i/>
                <w:sz w:val="18"/>
              </w:rPr>
              <w:t>Khoa Công nghệ Thông tin</w:t>
              <w:br/>
            </w:r>
            <w:r>
              <w:rPr>
                <w:rFonts w:ascii="Times New Roman" w:hAnsi="Times New Roman"/>
                <w:i/>
                <w:sz w:val="18"/>
              </w:rPr>
              <w:t>Trường Đại học Công nghệ</w:t>
              <w:br/>
              <w:t>TP.HCM (HUTECH)</w:t>
              <w:br/>
            </w:r>
            <w:r>
              <w:rPr>
                <w:rFonts w:ascii="Times New Roman" w:hAnsi="Times New Roman"/>
                <w:sz w:val="18"/>
              </w:rPr>
              <w:t>TP. Hồ Chí Minh, Việt Nam</w:t>
              <w:br/>
            </w:r>
            <w:r>
              <w:rPr>
                <w:rFonts w:ascii="Times New Roman" w:hAnsi="Times New Roman"/>
                <w:sz w:val="18"/>
              </w:rPr>
              <w:t>bd.huong@hutech.edu.vn</w:t>
            </w:r>
          </w:p>
        </w:tc>
        <w:tc>
          <w:tcPr>
            <w:tcW w:type="dxa" w:w="3485"/>
            <w:vAlign w:val="top"/>
          </w:tcPr>
          <w:p>
            <w:pPr>
              <w:pStyle w:val="Author"/>
              <w:spacing w:line="252" w:lineRule="auto" w:before="0" w:after="40"/>
              <w:jc w:val="center"/>
            </w:pPr>
            <w:r>
              <w:rPr>
                <w:rFonts w:ascii="Times New Roman" w:hAnsi="Times New Roman"/>
                <w:b/>
                <w:sz w:val="20"/>
              </w:rPr>
              <w:t>3</w:t>
            </w:r>
            <w:r>
              <w:rPr>
                <w:rFonts w:ascii="Times New Roman" w:hAnsi="Times New Roman"/>
                <w:b/>
                <w:sz w:val="20"/>
                <w:vertAlign w:val="superscript"/>
              </w:rPr>
              <w:t>rd</w:t>
            </w:r>
            <w:r>
              <w:rPr>
                <w:rFonts w:ascii="Times New Roman" w:hAnsi="Times New Roman"/>
                <w:b/>
                <w:sz w:val="20"/>
              </w:rPr>
              <w:t xml:space="preserve"> Hoàng Văn Quý</w:t>
              <w:br/>
            </w:r>
            <w:r>
              <w:rPr>
                <w:rFonts w:ascii="Times New Roman" w:hAnsi="Times New Roman"/>
                <w:i/>
                <w:sz w:val="18"/>
              </w:rPr>
              <w:t>Khoa Công nghệ Thông tin</w:t>
              <w:br/>
            </w:r>
            <w:r>
              <w:rPr>
                <w:rFonts w:ascii="Times New Roman" w:hAnsi="Times New Roman"/>
                <w:i/>
                <w:sz w:val="18"/>
              </w:rPr>
              <w:t>Trường Đại học Thủy lợi (TLU)</w:t>
              <w:br/>
            </w:r>
            <w:r>
              <w:rPr>
                <w:rFonts w:ascii="Times New Roman" w:hAnsi="Times New Roman"/>
                <w:sz w:val="18"/>
              </w:rPr>
              <w:t>Hà Nội, Việt Nam</w:t>
              <w:br/>
            </w:r>
            <w:r>
              <w:rPr>
                <w:rFonts w:ascii="Times New Roman" w:hAnsi="Times New Roman"/>
                <w:sz w:val="18"/>
              </w:rPr>
              <w:t>hoangvanquy@tlu.edu.vn</w:t>
            </w:r>
          </w:p>
        </w:tc>
      </w:tr>
    </w:tbl>
    <w:p>
      <w:pPr>
        <w:spacing w:before="0" w:after="120" w:line="252" w:lineRule="auto"/>
        <w:jc w:val="center"/>
        <w:sectPr>
          <w:pgSz w:w="11906" w:h="16838"/>
          <w:pgMar w:top="720" w:right="720" w:bottom="1080" w:left="720" w:header="720" w:footer="720"/>
          <w:cols w:num="1" w:space="720"/>
          <w:type w:val="continuous"/>
        </w:sectPr>
      </w:pPr>
    </w:p>
    <w:p>
      <w:pPr>
        <w:pStyle w:val="Abstract"/>
        <w:spacing w:before="80" w:after="80" w:line="252" w:lineRule="auto"/>
        <w:jc w:val="both"/>
      </w:pPr>
      <w:r>
        <w:rPr>
          <w:rFonts w:ascii="Times New Roman" w:hAnsi="Times New Roman"/>
          <w:b/>
          <w:i/>
          <w:sz w:val="18"/>
        </w:rPr>
        <w:t>Tóm tắt—</w:t>
      </w:r>
      <w:r>
        <w:rPr>
          <w:rFonts w:ascii="Times New Roman" w:hAnsi="Times New Roman"/>
          <w:b/>
          <w:i w:val="0"/>
          <w:sz w:val="18"/>
        </w:rPr>
        <w:t xml:space="preserve">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w:t>
      </w:r>
      <m:oMath>
        <m:r>
          <m:t>q ∈ {0.1, 0.5, 0.9}</m:t>
        </m:r>
      </m:oMath>
      <w:r>
        <w:rPr>
          <w:rFonts w:ascii="Times New Roman" w:hAnsi="Times New Roman"/>
          <w:b/>
          <w:i w:val="0"/>
          <w:sz w:val="18"/>
        </w:rPr>
        <w:t xml:space="preserve"> được tối ưu bằng pinball loss và residual scaling. Trên dữ liệu đa nguồn 11/2008–04/2026 (</w:t>
      </w:r>
      <m:oMath>
        <m:r>
          <m:t>N = 4.512</m:t>
        </m:r>
      </m:oMath>
      <w:r>
        <w:rPr>
          <w:rFonts w:ascii="Times New Roman" w:hAnsi="Times New Roman"/>
          <w:b/>
          <w:i w:val="0"/>
          <w:sz w:val="18"/>
        </w:rPr>
        <w:t xml:space="preserve"> quan sát) theo giao thức expanding walk-forward trong các giai đoạn thị trường biến động khốc liệt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pPr>
        <w:pStyle w:val="Keywords"/>
        <w:spacing w:before="40" w:after="120" w:line="252" w:lineRule="auto"/>
        <w:jc w:val="both"/>
      </w:pPr>
      <w:r>
        <w:rPr>
          <w:rFonts w:ascii="Times New Roman" w:hAnsi="Times New Roman"/>
          <w:b/>
          <w:i/>
          <w:sz w:val="18"/>
        </w:rPr>
        <w:t>Từ khóa—</w:t>
      </w:r>
      <w:r>
        <w:rPr>
          <w:rFonts w:ascii="Times New Roman" w:hAnsi="Times New Roman"/>
          <w:sz w:val="18"/>
        </w:rPr>
        <w:t>dự báo giá năng lượng, mixture-of-experts, Wavelet-KAN, rủi ro địa chính trị, dự báo phân vị, expanding walk-forward</w:t>
      </w:r>
    </w:p>
    <w:p>
      <w:pPr>
        <w:pStyle w:val="Heading1"/>
        <w:keepNext/>
        <w:spacing w:before="160" w:after="60" w:line="252" w:lineRule="auto"/>
        <w:jc w:val="center"/>
        <w:outlineLvl w:val="0"/>
      </w:pPr>
      <w:r>
        <w:rPr>
          <w:rFonts w:ascii="Times New Roman" w:hAnsi="Times New Roman"/>
          <w:b/>
          <w:sz w:val="20"/>
        </w:rPr>
        <w:t>1. GIỚI THIỆU</w:t>
      </w:r>
    </w:p>
    <w:p>
      <w:pPr>
        <w:pStyle w:val="BodyText"/>
        <w:spacing w:before="0" w:after="60" w:line="252" w:lineRule="auto"/>
        <w:jc w:val="both"/>
      </w:pPr>
      <w:r>
        <w:rPr>
          <w:rFonts w:ascii="Times New Roman" w:hAnsi="Times New Roman"/>
          <w:b w:val="0"/>
          <w:i w:val="0"/>
          <w:sz w:val="20"/>
        </w:rP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rFonts w:ascii="Times New Roman" w:hAnsi="Times New Roman"/>
            <w:sz w:val="20"/>
            <w:color w:val="1A56DB"/>
          </w:rPr>
          <w:t>[1]</w:t>
        </w:r>
      </w:hyperlink>
      <w:r>
        <w:rPr>
          <w:rFonts w:ascii="Times New Roman" w:hAnsi="Times New Roman"/>
          <w:b w:val="0"/>
          <w:i w:val="0"/>
          <w:sz w:val="20"/>
        </w:rPr>
        <w:t xml:space="preserve">, </w:t>
      </w:r>
      <w:hyperlink w:anchor="ref_2" w:history="1">
        <w:r>
          <w:rPr>
            <w:rFonts w:ascii="Times New Roman" w:hAnsi="Times New Roman"/>
            <w:sz w:val="20"/>
            <w:color w:val="1A56DB"/>
          </w:rPr>
          <w:t>[2]</w:t>
        </w:r>
      </w:hyperlink>
      <w:r>
        <w:rPr>
          <w:rFonts w:ascii="Times New Roman" w:hAnsi="Times New Roman"/>
          <w:b w:val="0"/>
          <w:i w:val="0"/>
          <w:sz w:val="20"/>
        </w:rPr>
        <w:t xml:space="preserve">, </w:t>
      </w:r>
      <w:hyperlink w:anchor="ref_3" w:history="1">
        <w:r>
          <w:rPr>
            <w:rFonts w:ascii="Times New Roman" w:hAnsi="Times New Roman"/>
            <w:sz w:val="20"/>
            <w:color w:val="1A56DB"/>
          </w:rPr>
          <w:t>[3]</w:t>
        </w:r>
      </w:hyperlink>
      <w:r>
        <w:rPr>
          <w:rFonts w:ascii="Times New Roman" w:hAnsi="Times New Roman"/>
          <w:b w:val="0"/>
          <w:i w:val="0"/>
          <w:sz w:val="20"/>
        </w:rP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(hedging) của các doanh nghiệp đầu mối xăng dầu lớn như Petrolimex và PVOIL.</w:t>
      </w:r>
    </w:p>
    <w:p>
      <w:pPr>
        <w:pStyle w:val="BodyText"/>
        <w:spacing w:before="0" w:after="60" w:line="252" w:lineRule="auto"/>
        <w:jc w:val="both"/>
      </w:pPr>
      <w:r>
        <w:rPr>
          <w:rFonts w:ascii="Times New Roman" w:hAnsi="Times New Roman"/>
          <w:b w:val="0"/>
          <w:i w:val="0"/>
          <w:sz w:val="20"/>
        </w:rPr>
        <w:t xml:space="preserve">Các kiến trúc chuỗi thời gian hiện đại như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Mamba </w:t>
      </w:r>
      <w:hyperlink w:anchor="ref_15" w:history="1">
        <w:r>
          <w:rPr>
            <w:rFonts w:ascii="Times New Roman" w:hAnsi="Times New Roman"/>
            <w:sz w:val="20"/>
            <w:color w:val="1A56DB"/>
          </w:rPr>
          <w:t>[15]</w:t>
        </w:r>
      </w:hyperlink>
      <w:r>
        <w:rPr>
          <w:rFonts w:ascii="Times New Roman" w:hAnsi="Times New Roman"/>
          <w:b w:val="0"/>
          <w:i w:val="0"/>
          <w:sz w:val="20"/>
        </w:rPr>
        <w:t xml:space="preserve"> và Chronos </w:t>
      </w:r>
      <w:hyperlink w:anchor="ref_16" w:history="1">
        <w:r>
          <w:rPr>
            <w:rFonts w:ascii="Times New Roman" w:hAnsi="Times New Roman"/>
            <w:sz w:val="20"/>
            <w:color w:val="1A56DB"/>
          </w:rPr>
          <w:t>[16]</w:t>
        </w:r>
      </w:hyperlink>
      <w:r>
        <w:rPr>
          <w:rFonts w:ascii="Times New Roman" w:hAnsi="Times New Roman"/>
          <w:b w:val="0"/>
          <w:i w:val="0"/>
          <w:sz w:val="20"/>
        </w:rP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rFonts w:ascii="Times New Roman" w:hAnsi="Times New Roman"/>
            <w:sz w:val="20"/>
            <w:color w:val="1A56DB"/>
          </w:rPr>
          <w:t>[20]</w:t>
        </w:r>
      </w:hyperlink>
      <w:r>
        <w:rPr>
          <w:rFonts w:ascii="Times New Roman" w:hAnsi="Times New Roman"/>
          <w:b w:val="0"/>
          <w:i w:val="0"/>
          <w:sz w:val="20"/>
        </w:rPr>
        <w:t xml:space="preserve">, </w:t>
      </w:r>
      <w:hyperlink w:anchor="ref_21" w:history="1">
        <w:r>
          <w:rPr>
            <w:rFonts w:ascii="Times New Roman" w:hAnsi="Times New Roman"/>
            <w:sz w:val="20"/>
            <w:color w:val="1A56DB"/>
          </w:rPr>
          <w:t>[21]</w:t>
        </w:r>
      </w:hyperlink>
      <w:r>
        <w:rPr>
          <w:rFonts w:ascii="Times New Roman" w:hAnsi="Times New Roman"/>
          <w:b w:val="0"/>
          <w:i w:val="0"/>
          <w:sz w:val="20"/>
        </w:rPr>
        <w:t xml:space="preserve">, </w:t>
      </w:r>
      <w:hyperlink w:anchor="ref_22" w:history="1">
        <w:r>
          <w:rPr>
            <w:rFonts w:ascii="Times New Roman" w:hAnsi="Times New Roman"/>
            <w:sz w:val="20"/>
            <w:color w:val="1A56DB"/>
          </w:rPr>
          <w:t>[22]</w:t>
        </w:r>
      </w:hyperlink>
      <w:r>
        <w:rPr>
          <w:rFonts w:ascii="Times New Roman" w:hAnsi="Times New Roman"/>
          <w:b w:val="0"/>
          <w:i w:val="0"/>
          <w:sz w:val="20"/>
        </w:rPr>
        <w:t xml:space="preserve"> thường đưa cùng một tập đặc trưng tới mọi expert, làm suy giảm mức độ chuyên môn hóa.</w:t>
      </w:r>
    </w:p>
    <w:p>
      <w:pPr>
        <w:pStyle w:val="BodyText"/>
        <w:spacing w:before="0" w:after="60" w:line="252" w:lineRule="auto"/>
        <w:jc w:val="both"/>
      </w:pPr>
      <w:r>
        <w:rPr>
          <w:rFonts w:ascii="Times New Roman" w:hAnsi="Times New Roman"/>
          <w:b w:val="0"/>
          <w:i w:val="0"/>
          <w:sz w:val="20"/>
        </w:rPr>
        <w:t xml:space="preserve">Mô hình đề xuất 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m:t>N = 4.512</m:t>
        </m:r>
      </m:oMath>
      <w:r>
        <w:rPr>
          <w:rFonts w:ascii="Times New Roman" w:hAnsi="Times New Roman"/>
          <w:b w:val="0"/>
          <w:i w:val="0"/>
          <w:sz w:val="20"/>
        </w:rPr>
        <w:t xml:space="preserve"> ngày giao dịch trực tiếp trong các giai đoạn biến động địa chính trị cao (độ biến động tập test cao gấp 1,9–2,9 lần tập train) với bảng kết quả đầy đủ các chỉ số MAE, RMSE, MAPE, </w:t>
      </w:r>
      <m:oMath>
        <m:sSup>
          <m:e>
            <m:r>
              <m:t>R</m:t>
            </m:r>
          </m:e>
          <m:sup>
            <m:r>
              <m:t>2</m:t>
            </m:r>
          </m:sup>
        </m:sSup>
      </m:oMath>
      <w:r>
        <w:rPr>
          <w:rFonts w:ascii="Times New Roman" w:hAnsi="Times New Roman"/>
          <w:b w:val="0"/>
          <w:i w:val="0"/>
          <w:sz w:val="20"/>
        </w:rPr>
        <w:t xml:space="preserve"> và DA%.</w:t>
      </w:r>
    </w:p>
    <w:p>
      <w:pPr>
        <w:pStyle w:val="Heading1"/>
        <w:keepNext/>
        <w:spacing w:before="160" w:after="60" w:line="252" w:lineRule="auto"/>
        <w:jc w:val="center"/>
        <w:outlineLvl w:val="0"/>
      </w:pPr>
      <w:r>
        <w:rPr>
          <w:rFonts w:ascii="Times New Roman" w:hAnsi="Times New Roman"/>
          <w:b/>
          <w:sz w:val="20"/>
        </w:rPr>
        <w:t>2. NGHIÊN CỨU LIÊN QUAN</w:t>
      </w:r>
    </w:p>
    <w:p>
      <w:pPr>
        <w:pStyle w:val="BodyText"/>
        <w:spacing w:before="0" w:after="60" w:line="252" w:lineRule="auto"/>
        <w:jc w:val="both"/>
      </w:pPr>
      <w:r>
        <w:rPr>
          <w:rFonts w:ascii="Times New Roman" w:hAnsi="Times New Roman"/>
          <w:b w:val="0"/>
          <w:i w:val="0"/>
          <w:sz w:val="20"/>
        </w:rPr>
        <w:t xml:space="preserve">Kilian </w:t>
      </w:r>
      <w:hyperlink w:anchor="ref_2" w:history="1">
        <w:r>
          <w:rPr>
            <w:rFonts w:ascii="Times New Roman" w:hAnsi="Times New Roman"/>
            <w:sz w:val="20"/>
            <w:color w:val="1A56DB"/>
          </w:rPr>
          <w:t>[2]</w:t>
        </w:r>
      </w:hyperlink>
      <w:r>
        <w:rPr>
          <w:rFonts w:ascii="Times New Roman" w:hAnsi="Times New Roman"/>
          <w:b w:val="0"/>
          <w:i w:val="0"/>
          <w:sz w:val="20"/>
        </w:rPr>
        <w:t xml:space="preserve"> và Baumeister &amp; Kilian </w:t>
      </w:r>
      <w:hyperlink w:anchor="ref_3" w:history="1">
        <w:r>
          <w:rPr>
            <w:rFonts w:ascii="Times New Roman" w:hAnsi="Times New Roman"/>
            <w:sz w:val="20"/>
            <w:color w:val="1A56DB"/>
          </w:rPr>
          <w:t>[3]</w:t>
        </w:r>
      </w:hyperlink>
      <w:r>
        <w:rPr>
          <w:rFonts w:ascii="Times New Roman" w:hAnsi="Times New Roman"/>
          <w:b w:val="0"/>
          <w:i w:val="0"/>
          <w:sz w:val="20"/>
        </w:rPr>
        <w:t xml:space="preserve"> đặt nền tảng cho việc phân tách cú sốc cung–cầu trong thị trường dầu, trong khi chỉ số GPR của Caldara &amp; Iacoviello </w:t>
      </w:r>
      <w:hyperlink w:anchor="ref_1" w:history="1">
        <w:r>
          <w:rPr>
            <w:rFonts w:ascii="Times New Roman" w:hAnsi="Times New Roman"/>
            <w:sz w:val="20"/>
            <w:color w:val="1A56DB"/>
          </w:rPr>
          <w:t>[1]</w:t>
        </w:r>
      </w:hyperlink>
      <w:r>
        <w:rPr>
          <w:rFonts w:ascii="Times New Roman" w:hAnsi="Times New Roman"/>
          <w:b w:val="0"/>
          <w:i w:val="0"/>
          <w:sz w:val="20"/>
        </w:rPr>
        <w:t xml:space="preserve"> cung cấp thước đo định lượng cho rủi ro địa chính trị. Ở phía mô hình,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và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đại diện cho các thiết kế Transformer/biến thiên thời gian hiện đại; DLinear </w:t>
      </w:r>
      <w:hyperlink w:anchor="ref_11" w:history="1">
        <w:r>
          <w:rPr>
            <w:rFonts w:ascii="Times New Roman" w:hAnsi="Times New Roman"/>
            <w:sz w:val="20"/>
            <w:color w:val="1A56DB"/>
          </w:rPr>
          <w:t>[11]</w:t>
        </w:r>
      </w:hyperlink>
      <w:r>
        <w:rPr>
          <w:rFonts w:ascii="Times New Roman" w:hAnsi="Times New Roman"/>
          <w:b w:val="0"/>
          <w:i w:val="0"/>
          <w:sz w:val="20"/>
        </w:rPr>
        <w:t xml:space="preserve"> cho thấy mô hình tuyến tính có phân rã vẫn là baseline mạnh. TFT </w:t>
      </w:r>
      <w:hyperlink w:anchor="ref_12" w:history="1">
        <w:r>
          <w:rPr>
            <w:rFonts w:ascii="Times New Roman" w:hAnsi="Times New Roman"/>
            <w:sz w:val="20"/>
            <w:color w:val="1A56DB"/>
          </w:rPr>
          <w:t>[12]</w:t>
        </w:r>
      </w:hyperlink>
      <w:r>
        <w:rPr>
          <w:rFonts w:ascii="Times New Roman" w:hAnsi="Times New Roman"/>
          <w:b w:val="0"/>
          <w:i w:val="0"/>
          <w:sz w:val="20"/>
        </w:rPr>
        <w:t xml:space="preserve">, N-BEATS </w:t>
      </w:r>
      <w:hyperlink w:anchor="ref_13" w:history="1">
        <w:r>
          <w:rPr>
            <w:rFonts w:ascii="Times New Roman" w:hAnsi="Times New Roman"/>
            <w:sz w:val="20"/>
            <w:color w:val="1A56DB"/>
          </w:rPr>
          <w:t>[13]</w:t>
        </w:r>
      </w:hyperlink>
      <w:r>
        <w:rPr>
          <w:rFonts w:ascii="Times New Roman" w:hAnsi="Times New Roman"/>
          <w:b w:val="0"/>
          <w:i w:val="0"/>
          <w:sz w:val="20"/>
        </w:rPr>
        <w:t xml:space="preserve"> và N-HiTS </w:t>
      </w:r>
      <w:hyperlink w:anchor="ref_14" w:history="1">
        <w:r>
          <w:rPr>
            <w:rFonts w:ascii="Times New Roman" w:hAnsi="Times New Roman"/>
            <w:sz w:val="20"/>
            <w:color w:val="1A56DB"/>
          </w:rPr>
          <w:t>[14]</w:t>
        </w:r>
      </w:hyperlink>
      <w:r>
        <w:rPr>
          <w:rFonts w:ascii="Times New Roman" w:hAnsi="Times New Roman"/>
          <w:b w:val="0"/>
          <w:i w:val="0"/>
          <w:sz w:val="20"/>
        </w:rPr>
        <w:t xml:space="preserve"> mở rộng dự báo đa horizon; Mamba </w:t>
      </w:r>
      <w:hyperlink w:anchor="ref_15" w:history="1">
        <w:r>
          <w:rPr>
            <w:rFonts w:ascii="Times New Roman" w:hAnsi="Times New Roman"/>
            <w:sz w:val="20"/>
            <w:color w:val="1A56DB"/>
          </w:rPr>
          <w:t>[15]</w:t>
        </w:r>
      </w:hyperlink>
      <w:r>
        <w:rPr>
          <w:rFonts w:ascii="Times New Roman" w:hAnsi="Times New Roman"/>
          <w:b w:val="0"/>
          <w:i w:val="0"/>
          <w:sz w:val="20"/>
        </w:rPr>
        <w:t xml:space="preserve"> đưa state-space chọn lọc vào sequence modeling; Chronos </w:t>
      </w:r>
      <w:hyperlink w:anchor="ref_16" w:history="1">
        <w:r>
          <w:rPr>
            <w:rFonts w:ascii="Times New Roman" w:hAnsi="Times New Roman"/>
            <w:sz w:val="20"/>
            <w:color w:val="1A56DB"/>
          </w:rPr>
          <w:t>[16]</w:t>
        </w:r>
      </w:hyperlink>
      <w:r>
        <w:rPr>
          <w:rFonts w:ascii="Times New Roman" w:hAnsi="Times New Roman"/>
          <w:b w:val="0"/>
          <w:i w:val="0"/>
          <w:sz w:val="20"/>
        </w:rPr>
        <w:t xml:space="preserve">, TimesFM </w:t>
      </w:r>
      <w:hyperlink w:anchor="ref_17" w:history="1">
        <w:r>
          <w:rPr>
            <w:rFonts w:ascii="Times New Roman" w:hAnsi="Times New Roman"/>
            <w:sz w:val="20"/>
            <w:color w:val="1A56DB"/>
          </w:rPr>
          <w:t>[17]</w:t>
        </w:r>
      </w:hyperlink>
      <w:r>
        <w:rPr>
          <w:rFonts w:ascii="Times New Roman" w:hAnsi="Times New Roman"/>
          <w:b w:val="0"/>
          <w:i w:val="0"/>
          <w:sz w:val="20"/>
        </w:rPr>
        <w:t xml:space="preserve">, MOIRAI </w:t>
      </w:r>
      <w:hyperlink w:anchor="ref_18" w:history="1">
        <w:r>
          <w:rPr>
            <w:rFonts w:ascii="Times New Roman" w:hAnsi="Times New Roman"/>
            <w:sz w:val="20"/>
            <w:color w:val="1A56DB"/>
          </w:rPr>
          <w:t>[18]</w:t>
        </w:r>
      </w:hyperlink>
      <w:r>
        <w:rPr>
          <w:rFonts w:ascii="Times New Roman" w:hAnsi="Times New Roman"/>
          <w:b w:val="0"/>
          <w:i w:val="0"/>
          <w:sz w:val="20"/>
        </w:rPr>
        <w:t xml:space="preserve"> và TTM </w:t>
      </w:r>
      <w:hyperlink w:anchor="ref_19" w:history="1">
        <w:r>
          <w:rPr>
            <w:rFonts w:ascii="Times New Roman" w:hAnsi="Times New Roman"/>
            <w:sz w:val="20"/>
            <w:color w:val="1A56DB"/>
          </w:rPr>
          <w:t>[19]</w:t>
        </w:r>
      </w:hyperlink>
      <w:r>
        <w:rPr>
          <w:rFonts w:ascii="Times New Roman" w:hAnsi="Times New Roman"/>
          <w:b w:val="0"/>
          <w:i w:val="0"/>
          <w:sz w:val="20"/>
        </w:rPr>
        <w:t xml:space="preserve"> mở rộng sang foundation time-series models.</w:t>
      </w:r>
    </w:p>
    <w:p>
      <w:pPr>
        <w:pStyle w:val="BodyText"/>
        <w:spacing w:before="0" w:after="60" w:line="252" w:lineRule="auto"/>
        <w:jc w:val="both"/>
      </w:pPr>
      <w:r>
        <w:rPr>
          <w:rFonts w:ascii="Times New Roman" w:hAnsi="Times New Roman"/>
          <w:b w:val="0"/>
          <w:i w:val="0"/>
          <w:sz w:val="20"/>
        </w:rPr>
        <w:t xml:space="preserve">Về MoE, Jacobs et al. </w:t>
      </w:r>
      <w:hyperlink w:anchor="ref_20" w:history="1">
        <w:r>
          <w:rPr>
            <w:rFonts w:ascii="Times New Roman" w:hAnsi="Times New Roman"/>
            <w:sz w:val="20"/>
            <w:color w:val="1A56DB"/>
          </w:rPr>
          <w:t>[20]</w:t>
        </w:r>
      </w:hyperlink>
      <w:r>
        <w:rPr>
          <w:rFonts w:ascii="Times New Roman" w:hAnsi="Times New Roman"/>
          <w:b w:val="0"/>
          <w:i w:val="0"/>
          <w:sz w:val="20"/>
        </w:rPr>
        <w:t xml:space="preserve"> giới thiệu adaptive mixtures of local experts; Shazeer et al. </w:t>
      </w:r>
      <w:hyperlink w:anchor="ref_21" w:history="1">
        <w:r>
          <w:rPr>
            <w:rFonts w:ascii="Times New Roman" w:hAnsi="Times New Roman"/>
            <w:sz w:val="20"/>
            <w:color w:val="1A56DB"/>
          </w:rPr>
          <w:t>[21]</w:t>
        </w:r>
      </w:hyperlink>
      <w:r>
        <w:rPr>
          <w:rFonts w:ascii="Times New Roman" w:hAnsi="Times New Roman"/>
          <w:b w:val="0"/>
          <w:i w:val="0"/>
          <w:sz w:val="20"/>
        </w:rPr>
        <w:t xml:space="preserve"> và Switch Transformer </w:t>
      </w:r>
      <w:hyperlink w:anchor="ref_22" w:history="1">
        <w:r>
          <w:rPr>
            <w:rFonts w:ascii="Times New Roman" w:hAnsi="Times New Roman"/>
            <w:sz w:val="20"/>
            <w:color w:val="1A56DB"/>
          </w:rPr>
          <w:t>[22]</w:t>
        </w:r>
      </w:hyperlink>
      <w:r>
        <w:rPr>
          <w:rFonts w:ascii="Times New Roman" w:hAnsi="Times New Roman"/>
          <w:b w:val="0"/>
          <w:i w:val="0"/>
          <w:sz w:val="20"/>
        </w:rPr>
        <w:t xml:space="preserve"> phát triển sparse gating ở quy mô lớn. KAN </w:t>
      </w:r>
      <w:hyperlink w:anchor="ref_23" w:history="1">
        <w:r>
          <w:rPr>
            <w:rFonts w:ascii="Times New Roman" w:hAnsi="Times New Roman"/>
            <w:sz w:val="20"/>
            <w:color w:val="1A56DB"/>
          </w:rPr>
          <w:t>[23]</w:t>
        </w:r>
      </w:hyperlink>
      <w:r>
        <w:rPr>
          <w:rFonts w:ascii="Times New Roman" w:hAnsi="Times New Roman"/>
          <w:b w:val="0"/>
          <w:i w:val="0"/>
          <w:sz w:val="20"/>
        </w:rPr>
        <w:t xml:space="preserve"> và Wav-KAN </w:t>
      </w:r>
      <w:hyperlink w:anchor="ref_24" w:history="1">
        <w:r>
          <w:rPr>
            <w:rFonts w:ascii="Times New Roman" w:hAnsi="Times New Roman"/>
            <w:sz w:val="20"/>
            <w:color w:val="1A56DB"/>
          </w:rPr>
          <w:t>[24]</w:t>
        </w:r>
      </w:hyperlink>
      <w:r>
        <w:rPr>
          <w:rFonts w:ascii="Times New Roman" w:hAnsi="Times New Roman"/>
          <w:b w:val="0"/>
          <w:i w:val="0"/>
          <w:sz w:val="20"/>
        </w:rPr>
        <w:t xml:space="preserve"> thay thế activation cố định bằng hàm cơ sở có thể học, trong đó wavelet phù hợp với tín hiệu cục bộ đa độ phân giải </w:t>
      </w:r>
      <w:hyperlink w:anchor="ref_25" w:history="1">
        <w:r>
          <w:rPr>
            <w:rFonts w:ascii="Times New Roman" w:hAnsi="Times New Roman"/>
            <w:sz w:val="20"/>
            <w:color w:val="1A56DB"/>
          </w:rPr>
          <w:t>[25]</w:t>
        </w:r>
      </w:hyperlink>
      <w:r>
        <w:rPr>
          <w:rFonts w:ascii="Times New Roman" w:hAnsi="Times New Roman"/>
          <w:b w:val="0"/>
          <w:i w:val="0"/>
          <w:sz w:val="20"/>
        </w:rPr>
        <w:t xml:space="preserve">. Time-MoE </w:t>
      </w:r>
      <w:hyperlink w:anchor="ref_26" w:history="1">
        <w:r>
          <w:rPr>
            <w:rFonts w:ascii="Times New Roman" w:hAnsi="Times New Roman"/>
            <w:sz w:val="20"/>
            <w:color w:val="1A56DB"/>
          </w:rPr>
          <w:t>[26]</w:t>
        </w:r>
      </w:hyperlink>
      <w:r>
        <w:rPr>
          <w:rFonts w:ascii="Times New Roman" w:hAnsi="Times New Roman"/>
          <w:b w:val="0"/>
          <w:i w:val="0"/>
          <w:sz w:val="20"/>
        </w:rPr>
        <w:t xml:space="preserve"> và TimeMixer++ </w:t>
      </w:r>
      <w:hyperlink w:anchor="ref_27" w:history="1">
        <w:r>
          <w:rPr>
            <w:rFonts w:ascii="Times New Roman" w:hAnsi="Times New Roman"/>
            <w:sz w:val="20"/>
            <w:color w:val="1A56DB"/>
          </w:rPr>
          <w:t>[27]</w:t>
        </w:r>
      </w:hyperlink>
      <w:r>
        <w:rPr>
          <w:rFonts w:ascii="Times New Roman" w:hAnsi="Times New Roman"/>
          <w:b w:val="0"/>
          <w:i w:val="0"/>
          <w:sz w:val="20"/>
        </w:rP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pPr>
        <w:pStyle w:val="Heading1"/>
        <w:keepNext/>
        <w:spacing w:before="160" w:after="60" w:line="252" w:lineRule="auto"/>
        <w:jc w:val="center"/>
        <w:outlineLvl w:val="0"/>
      </w:pPr>
      <w:r>
        <w:rPr>
          <w:rFonts w:ascii="Times New Roman" w:hAnsi="Times New Roman"/>
          <w:b/>
          <w:sz w:val="20"/>
        </w:rPr>
        <w:t>3. PHƯƠNG PHÁP GUMNetHet</w:t>
      </w:r>
    </w:p>
    <w:p>
      <w:pPr>
        <w:pStyle w:val="Heading2"/>
        <w:keepNext/>
        <w:spacing w:before="120" w:after="40" w:line="252" w:lineRule="auto"/>
        <w:jc w:val="left"/>
        <w:outlineLvl w:val="1"/>
      </w:pPr>
      <w:r>
        <w:rPr>
          <w:rFonts w:ascii="Times New Roman" w:hAnsi="Times New Roman"/>
          <w:b/>
          <w:i/>
          <w:sz w:val="19"/>
        </w:rPr>
        <w:t>3.1. Phát biểu bài toán</w:t>
      </w:r>
    </w:p>
    <w:p>
      <w:pPr>
        <w:pStyle w:val="BodyText"/>
        <w:spacing w:before="0" w:after="60" w:line="252" w:lineRule="auto"/>
        <w:jc w:val="both"/>
      </w:pPr>
      <w:r>
        <w:rPr>
          <w:rFonts w:ascii="Times New Roman" w:hAnsi="Times New Roman"/>
          <w:b w:val="0"/>
          <w:i w:val="0"/>
          <w:sz w:val="20"/>
        </w:rPr>
        <w:t xml:space="preserve">Gọi </w:t>
      </w:r>
      <m:oMath>
        <m:sSub>
          <m:e>
            <m:r>
              <m:t>X</m:t>
            </m:r>
          </m:e>
          <m:sub>
            <m:r>
              <m:t>price</m:t>
            </m:r>
          </m:sub>
        </m:sSub>
      </m:oMath>
      <w:r>
        <w:rPr>
          <w:rFonts w:ascii="Times New Roman" w:hAnsi="Times New Roman"/>
          <w:b w:val="0"/>
          <w:i w:val="0"/>
          <w:sz w:val="20"/>
        </w:rPr>
        <w:t xml:space="preserve">, </w:t>
      </w:r>
      <m:oMath>
        <m:sSub>
          <m:e>
            <m:r>
              <m:t>X</m:t>
            </m:r>
          </m:e>
          <m:sub>
            <m:r>
              <m:t>macro</m:t>
            </m:r>
          </m:sub>
        </m:sSub>
      </m:oMath>
      <w:r>
        <w:rPr>
          <w:rFonts w:ascii="Times New Roman" w:hAnsi="Times New Roman"/>
          <w:b w:val="0"/>
          <w:i w:val="0"/>
          <w:sz w:val="20"/>
        </w:rPr>
        <w:t xml:space="preserve">, </w:t>
      </w:r>
      <m:oMath>
        <m:sSub>
          <m:e>
            <m:r>
              <m:t>X</m:t>
            </m:r>
          </m:e>
          <m:sub>
            <m:r>
              <m:t>shock</m:t>
            </m:r>
          </m:sub>
        </m:sSub>
      </m:oMath>
      <w:r>
        <w:rPr>
          <w:rFonts w:ascii="Times New Roman" w:hAnsi="Times New Roman"/>
          <w:b w:val="0"/>
          <w:i w:val="0"/>
          <w:sz w:val="20"/>
        </w:rPr>
        <w:t xml:space="preserve"> là các ma trận đặc trưng đầu vào quá khứ với lookback </w:t>
      </w:r>
      <m:oMath>
        <m:r>
          <m:t>L = 30</m:t>
        </m:r>
      </m:oMath>
      <w:r>
        <w:rPr>
          <w:rFonts w:ascii="Times New Roman" w:hAnsi="Times New Roman"/>
          <w:b w:val="0"/>
          <w:i w:val="0"/>
          <w:sz w:val="20"/>
        </w:rPr>
        <w:t xml:space="preserve"> ngày giao dịch. Mục tiêu dự báo là ước lượng trực tiếp vectơ lợi suất log tích lũy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b w:val="0"/>
          <w:i w:val="0"/>
          <w:sz w:val="20"/>
        </w:rPr>
        <w:t xml:space="preserve"> qua chu kỳ </w:t>
      </w:r>
      <m:oMath>
        <m:r>
          <m:t>h ∈ {1, 3, 5, 7, 10, 20, 60}</m:t>
        </m:r>
      </m:oMath>
      <w:r>
        <w:rPr>
          <w:rFonts w:ascii="Times New Roman" w:hAnsi="Times New Roman"/>
          <w:b w:val="0"/>
          <w:i w:val="0"/>
          <w:sz w:val="20"/>
        </w:rPr>
        <w:t xml:space="preserve"> cho nhóm sản phẩm </w:t>
      </w:r>
      <m:oMath>
        <m:r>
          <m:t>c ∈ {MG95, DO 0.001%}</m:t>
        </m:r>
      </m:oMath>
      <w:r>
        <w:rPr>
          <w:rFonts w:ascii="Times New Roman" w:hAnsi="Times New Roman"/>
          <w:b w:val="0"/>
          <w:i w:val="0"/>
          <w:sz w:val="20"/>
        </w:rPr>
        <w:t xml:space="preserve"> được định nghĩa theo (1):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pPr>
        <w:pStyle w:val="BodyText"/>
        <w:spacing w:before="0" w:after="60" w:line="252" w:lineRule="auto"/>
        <w:jc w:val="both"/>
      </w:pPr>
      <w:r>
        <w:rPr>
          <w:rFonts w:ascii="Times New Roman" w:hAnsi="Times New Roman"/>
          <w:b w:val="0"/>
          <w:i w:val="0"/>
          <w:sz w:val="20"/>
        </w:rPr>
        <w:t xml:space="preserve">Mức giá dự báo tương lai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b w:val="0"/>
          <w:i w:val="0"/>
          <w:sz w:val="20"/>
        </w:rPr>
        <w:t xml:space="preserve"> sau đó được phục hồi chính xác thông qua phép biến đổi nghịch đảo tiền định theo (2). Thiết kế dự báo lợi suất tích lũy trực tiếp (direct cumulative) này giúp đưa chuỗi giá không dừng về chuỗi lợi suất dừng </w:t>
      </w:r>
      <m:oMath>
        <m:r>
          <m:t>p &lt; 0.001</m:t>
        </m:r>
      </m:oMath>
      <w:r>
        <w:rPr>
          <w:rFonts w:ascii="Times New Roman" w:hAnsi="Times New Roman"/>
          <w:b w:val="0"/>
          <w:i w:val="0"/>
          <w:sz w:val="20"/>
        </w:rPr>
        <w:t xml:space="preserve"> (chứng minh ở Mục 4.2), đồng thời triệt tiêu hoàn toàn hiện tượng tích lũy sai số đệ quy (autoregressive error compounding) khi dự báo qua nhiều bước thời gian.</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pPr>
        <w:pStyle w:val="Heading2"/>
        <w:keepNext/>
        <w:spacing w:before="120" w:after="40" w:line="252" w:lineRule="auto"/>
        <w:jc w:val="left"/>
        <w:outlineLvl w:val="1"/>
      </w:pPr>
      <w:r>
        <w:rPr>
          <w:rFonts w:ascii="Times New Roman" w:hAnsi="Times New Roman"/>
          <w:b/>
          <w:i/>
          <w:sz w:val="19"/>
        </w:rPr>
        <w:t>3.2. Khung kiến trúc hệ thống GUMNetHet</w:t>
      </w:r>
    </w:p>
    <w:p>
      <w:pPr>
        <w:pStyle w:val="BodyText"/>
        <w:spacing w:before="0" w:after="60" w:line="252" w:lineRule="auto"/>
        <w:jc w:val="both"/>
      </w:pPr>
      <w:hyperlink w:anchor="fig_1" w:history="1">
        <w:r>
          <w:rPr>
            <w:rFonts w:ascii="Times New Roman" w:hAnsi="Times New Roman"/>
            <w:sz w:val="20"/>
            <w:color w:val="1A56DB"/>
          </w:rPr>
          <w:t>Hình 1</w:t>
        </w:r>
      </w:hyperlink>
      <w:r>
        <w:rPr>
          <w:rFonts w:ascii="Times New Roman" w:hAnsi="Times New Roman"/>
          <w:b w:val="0"/>
          <w:i w:val="0"/>
          <w:sz w:val="20"/>
        </w:rPr>
        <w:t xml:space="preserve"> mô tả chi tiết kiến trúc nơ-ron của GUMNetHet. Khác với các mạng MoE truyền thống nạp toàn bộ đặc trưng vào mọi expert gây suy giảm chuyên môn hóa, GUMNetHet phân vùng đặc trưng theo miền tần số và bản chất kinh tế: nhóm giá tần số cao cho CNN-1D đa tỷ lệ, nhóm vĩ mô biến đổi chậm cho GRU-Attention, và nhóm tỷ lệ crack-spread/cú sốc đuôi dày cho Wavelet-KAN. Cơ chế này ép buộc inductive bias chuyên biệt, ngăn chặn triệt để hiện tượng thoái hóa chuyên gia (expert degeneration).</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82112" cy="4908003"/>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3182112" cy="4908003"/>
                    </a:xfrm>
                    <a:prstGeom prst="rect"/>
                  </pic:spPr>
                </pic:pic>
              </a:graphicData>
            </a:graphic>
          </wp:inline>
        </w:drawing>
      </w:r>
    </w:p>
    <w:p>
      <w:bookmarkStart w:id="1" w:name="fig_1"/>
      <w:pPr>
        <w:pStyle w:val="figurecaption"/>
        <w:keepNext/>
        <w:spacing w:before="80" w:after="60" w:line="252" w:lineRule="auto"/>
        <w:jc w:val="left"/>
      </w:pPr>
      <w:r>
        <w:rPr>
          <w:rFonts w:ascii="Times New Roman" w:hAnsi="Times New Roman"/>
          <w:b/>
          <w:sz w:val="17"/>
        </w:rPr>
        <w:t>Hình 1.</w:t>
      </w:r>
      <w:r>
        <w:rPr>
          <w:rFonts w:ascii="Times New Roman" w:hAnsi="Times New Roman"/>
          <w:b w:val="0"/>
          <w:sz w:val="17"/>
        </w:rPr>
        <w:t xml:space="preserve"> Tổng quan kiến trúc GUMNetHet: (A) Phân vùng đặc trưng, 3 chuyên gia dị thể, router nhận biết horizon và đầu ra đa phân vị; (B) Các cấu trúc baseline cạnh tranh.</w:t>
      </w:r>
      <w:bookmarkEnd w:id="1"/>
    </w:p>
    <w:p>
      <w:pPr>
        <w:pStyle w:val="Heading3"/>
        <w:keepNext/>
        <w:spacing w:before="80" w:after="40" w:line="252" w:lineRule="auto"/>
        <w:jc w:val="left"/>
        <w:outlineLvl w:val="2"/>
      </w:pPr>
      <w:r>
        <w:rPr>
          <w:rFonts w:ascii="Times New Roman" w:hAnsi="Times New Roman"/>
          <w:b/>
          <w:i/>
          <w:sz w:val="19"/>
        </w:rPr>
        <w:t>3.2.1. Chuyên gia Động lượng Giá: 1D-CNN Đa tỷ lệ</w:t>
      </w:r>
    </w:p>
    <w:p>
      <w:pPr>
        <w:pStyle w:val="BodyText"/>
        <w:spacing w:before="0" w:after="60" w:line="252" w:lineRule="auto"/>
        <w:jc w:val="both"/>
      </w:pPr>
      <w:r>
        <w:rPr>
          <w:rFonts w:ascii="Times New Roman" w:hAnsi="Times New Roman"/>
          <w:b w:val="0"/>
          <w:i w:val="0"/>
          <w:sz w:val="20"/>
        </w:rPr>
        <w:t xml:space="preserve">Chuyên gia giá sử dụng ba tầng tích chập 1D song song với kích thước kernel </w:t>
      </w:r>
      <m:oMath>
        <m:r>
          <m:t>k ∈ {3, 7, 15}</m:t>
        </m:r>
      </m:oMath>
      <w:r>
        <w:rPr>
          <w:rFonts w:ascii="Times New Roman" w:hAnsi="Times New Roman"/>
          <w:b w:val="0"/>
          <w:i w:val="0"/>
          <w:sz w:val="20"/>
        </w:rPr>
        <w:t xml:space="preserve"> để trích xuất đặc trưng thời gian đa độ phân giải, kết hợp chuẩn hóa tầng và cơ chế chú ý theo thời gian theo (3) và (4):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pPr>
        <w:pStyle w:val="Heading3"/>
        <w:keepNext/>
        <w:spacing w:before="80" w:after="40" w:line="252" w:lineRule="auto"/>
        <w:jc w:val="left"/>
        <w:outlineLvl w:val="2"/>
      </w:pPr>
      <w:r>
        <w:rPr>
          <w:rFonts w:ascii="Times New Roman" w:hAnsi="Times New Roman"/>
          <w:b/>
          <w:i/>
          <w:sz w:val="19"/>
        </w:rPr>
        <w:t>3.2.2. Chuyên gia Chế độ Vĩ mô: GRU-Attention</w:t>
      </w:r>
    </w:p>
    <w:p>
      <w:pPr>
        <w:pStyle w:val="BodyText"/>
        <w:spacing w:before="0" w:after="60" w:line="252" w:lineRule="auto"/>
        <w:jc w:val="both"/>
      </w:pPr>
      <w:r>
        <w:rPr>
          <w:rFonts w:ascii="Times New Roman" w:hAnsi="Times New Roman"/>
          <w:b w:val="0"/>
          <w:i w:val="0"/>
          <w:sz w:val="20"/>
        </w:rPr>
        <w:t>Chuyên gia kinh tế vĩ mô xử lý các tín hiệu xu hướng tần số thấp thông qua mạng GRU 2 tầng xếp chồng với dropout = 0.1, trích xuất biểu diễn trạng thái ẩn cuối cùng theo (5):</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pPr>
        <w:pStyle w:val="Heading3"/>
        <w:keepNext/>
        <w:spacing w:before="80" w:after="40" w:line="252" w:lineRule="auto"/>
        <w:jc w:val="left"/>
        <w:outlineLvl w:val="2"/>
      </w:pPr>
      <w:r>
        <w:rPr>
          <w:rFonts w:ascii="Times New Roman" w:hAnsi="Times New Roman"/>
          <w:b/>
          <w:i/>
          <w:sz w:val="19"/>
        </w:rPr>
        <w:t>3.2.3. Chuyên gia Triệt tiêu Cú sốc Phi tuyến: Wavelet-KAN</w:t>
      </w:r>
    </w:p>
    <w:p>
      <w:pPr>
        <w:pStyle w:val="BodyText"/>
        <w:spacing w:before="0" w:after="60" w:line="252" w:lineRule="auto"/>
        <w:jc w:val="both"/>
      </w:pPr>
      <w:r>
        <w:rPr>
          <w:rFonts w:ascii="Times New Roman" w:hAnsi="Times New Roman"/>
          <w:b w:val="0"/>
          <w:i w:val="0"/>
          <w:sz w:val="20"/>
        </w:rPr>
        <w:t xml:space="preserve">Để nắm bắt các đứt gãy phi tuyến tính nghiêm trọng do các sự kiện rủi ro địa chính trị cực đoan, chuyên gia thứ ba triển khai Mạng Kolmogorov-Arnold tích hợp sóng con Mexican Hat </w:t>
      </w:r>
      <m:oMath>
        <m:r>
          <m:t>ψ(z) = (1 − </m:t>
        </m:r>
        <m:sSup>
          <m:e>
            <m:r>
              <m:t>z</m:t>
            </m:r>
          </m:e>
          <m:sup>
            <m:r>
              <m:t>2</m:t>
            </m:r>
          </m:sup>
        </m:sSup>
        <m:r>
          <m:t>) · </m:t>
        </m:r>
        <m:sSup>
          <m:e>
            <m:r>
              <m:t>e</m:t>
            </m:r>
          </m:e>
          <m:sup>
            <m:r>
              <m:t>−0.5z²</m:t>
            </m:r>
          </m:sup>
        </m:sSup>
      </m:oMath>
      <w:r>
        <w:rPr>
          <w:rFonts w:ascii="Times New Roman" w:hAnsi="Times New Roman"/>
          <w:b w:val="0"/>
          <w:i w:val="0"/>
          <w:sz w:val="20"/>
        </w:rPr>
        <w:t xml:space="preserve"> với các tham số dịch chuyển và co giãn có thể học theo (6) và (7):</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pPr>
        <w:pStyle w:val="Heading3"/>
        <w:keepNext/>
        <w:spacing w:before="80" w:after="40" w:line="252" w:lineRule="auto"/>
        <w:jc w:val="left"/>
        <w:outlineLvl w:val="2"/>
      </w:pPr>
      <w:r>
        <w:rPr>
          <w:rFonts w:ascii="Times New Roman" w:hAnsi="Times New Roman"/>
          <w:b/>
          <w:i/>
          <w:sz w:val="19"/>
        </w:rPr>
        <w:t>3.2.4. Bộ Định tuyến Cổng Động Nhận biết Chu kỳ</w:t>
      </w:r>
    </w:p>
    <w:p>
      <w:pPr>
        <w:pStyle w:val="BodyText"/>
        <w:spacing w:before="0" w:after="60" w:line="252" w:lineRule="auto"/>
        <w:jc w:val="both"/>
      </w:pPr>
      <w:r>
        <w:rPr>
          <w:rFonts w:ascii="Times New Roman" w:hAnsi="Times New Roman"/>
          <w:b w:val="0"/>
          <w:i w:val="0"/>
          <w:sz w:val="20"/>
        </w:rPr>
        <w:t xml:space="preserve">Nhằm điều tiết linh hoạt đóng góp của từng chuyên gia qua các chu kỳ dự báo và các chế độ thị trường khác nhau, bộ định tuyến nhận đầu vào là các biểu diễn chuyên gia được ghép nối, nhúng vị trí chu kỳ và thống kê tóm tắt ngữ cảnh toàn cục </w:t>
      </w:r>
      <m:oMath>
        <m:sSub>
          <m:e>
            <m:r>
              <m:t>x</m:t>
            </m:r>
          </m:e>
          <m:sub>
            <m:r>
              <m:t>ctx</m:t>
            </m:r>
          </m:sub>
        </m:sSub>
      </m:oMath>
      <w:r>
        <w:rPr>
          <w:rFonts w:ascii="Times New Roman" w:hAnsi="Times New Roman"/>
          <w:b w:val="0"/>
          <w:i w:val="0"/>
          <w:sz w:val="20"/>
        </w:rPr>
        <w:t xml:space="preserve"> theo (8), (9) và (10):</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pPr>
        <w:pStyle w:val="Heading3"/>
        <w:keepNext/>
        <w:spacing w:before="80" w:after="40" w:line="252" w:lineRule="auto"/>
        <w:jc w:val="left"/>
        <w:outlineLvl w:val="2"/>
      </w:pPr>
      <w:r>
        <w:rPr>
          <w:rFonts w:ascii="Times New Roman" w:hAnsi="Times New Roman"/>
          <w:b/>
          <w:i/>
          <w:sz w:val="19"/>
        </w:rPr>
        <w:t>3.2.5. Cơ chế Co giãn Phần dư &amp; Đầu ra Dự báo Đa Phân vị</w:t>
      </w:r>
    </w:p>
    <w:p>
      <w:pPr>
        <w:pStyle w:val="BodyText"/>
        <w:spacing w:before="0" w:after="60" w:line="252" w:lineRule="auto"/>
        <w:jc w:val="both"/>
      </w:pPr>
      <w:r>
        <w:rPr>
          <w:rFonts w:ascii="Times New Roman" w:hAnsi="Times New Roman"/>
          <w:b w:val="0"/>
          <w:i w:val="0"/>
          <w:sz w:val="20"/>
        </w:rPr>
        <w:t xml:space="preserve">Để ngăn chặn sự bùng nổ phương sai ở chu kỳ dài hạn (như H60), GUMNetHet tích hợp vectơ co giãn phần dư </w:t>
      </w:r>
      <m:oMath>
        <m:sSub>
          <m:e>
            <m:r>
              <m:t>γ</m:t>
            </m:r>
          </m:e>
          <m:sub>
            <m:r>
              <m:t>h</m:t>
            </m:r>
          </m:sub>
        </m:sSub>
      </m:oMath>
      <w:r>
        <w:rPr>
          <w:rFonts w:ascii="Times New Roman" w:hAnsi="Times New Roman"/>
          <w:b w:val="0"/>
          <w:i w:val="0"/>
          <w:sz w:val="20"/>
        </w:rPr>
        <w:t xml:space="preserve"> được khởi tạo tại 0.1, cung cấp các dự báo lợi suất đa phân vị cho các mức </w:t>
      </w:r>
      <m:oMath>
        <m:r>
          <m:t>q ∈ {0.1, 0.5, 0.9}</m:t>
        </m:r>
      </m:oMath>
      <w:r>
        <w:rPr>
          <w:rFonts w:ascii="Times New Roman" w:hAnsi="Times New Roman"/>
          <w:b w:val="0"/>
          <w:i w:val="0"/>
          <w:sz w:val="20"/>
        </w:rPr>
        <w:t xml:space="preserve"> theo (11):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pPr>
        <w:pStyle w:val="Heading3"/>
        <w:keepNext/>
        <w:spacing w:before="80" w:after="40" w:line="252" w:lineRule="auto"/>
        <w:jc w:val="left"/>
        <w:outlineLvl w:val="2"/>
      </w:pPr>
      <w:r>
        <w:rPr>
          <w:rFonts w:ascii="Times New Roman" w:hAnsi="Times New Roman"/>
          <w:b/>
          <w:i/>
          <w:sz w:val="19"/>
        </w:rPr>
        <w:t>3.2.6. Tối ưu hóa Hàm Mất mát Kép</w:t>
      </w:r>
    </w:p>
    <w:p>
      <w:pPr>
        <w:pStyle w:val="BodyText"/>
        <w:spacing w:before="0" w:after="60" w:line="252" w:lineRule="auto"/>
        <w:jc w:val="both"/>
      </w:pPr>
      <w:r>
        <w:rPr>
          <w:rFonts w:ascii="Times New Roman" w:hAnsi="Times New Roman"/>
          <w:b w:val="0"/>
          <w:i w:val="0"/>
          <w:sz w:val="20"/>
        </w:rPr>
        <w:t>Hàm mục tiêu tổng thể kết hợp giữa mất mát pinball đa phân vị và điều chuẩn cân bằng tải nhằm chống sụp đổ cổng định tuyến theo (12), (13) và (14):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pPr>
        <w:pStyle w:val="Heading1"/>
        <w:keepNext/>
        <w:spacing w:before="160" w:after="60" w:line="252" w:lineRule="auto"/>
        <w:jc w:val="center"/>
        <w:outlineLvl w:val="0"/>
      </w:pPr>
      <w:r>
        <w:rPr>
          <w:rFonts w:ascii="Times New Roman" w:hAnsi="Times New Roman"/>
          <w:b/>
          <w:sz w:val="20"/>
        </w:rPr>
        <w:t>4. THIẾT LẬP THỰC NGHIỆM</w:t>
      </w:r>
    </w:p>
    <w:p>
      <w:pPr>
        <w:pStyle w:val="Heading2"/>
        <w:keepNext/>
        <w:spacing w:before="120" w:after="40" w:line="252" w:lineRule="auto"/>
        <w:jc w:val="left"/>
        <w:outlineLvl w:val="1"/>
      </w:pPr>
      <w:r>
        <w:rPr>
          <w:rFonts w:ascii="Times New Roman" w:hAnsi="Times New Roman"/>
          <w:b/>
          <w:i/>
          <w:sz w:val="19"/>
        </w:rPr>
        <w:t>4.1. Dữ liệu và giao thức walk-forward</w:t>
      </w:r>
    </w:p>
    <w:p>
      <w:pPr>
        <w:pStyle w:val="BodyText"/>
        <w:spacing w:before="0" w:after="60" w:line="252" w:lineRule="auto"/>
        <w:jc w:val="both"/>
      </w:pPr>
      <w:r>
        <w:rPr>
          <w:rFonts w:ascii="Times New Roman" w:hAnsi="Times New Roman"/>
          <w:b w:val="0"/>
          <w:i w:val="0"/>
          <w:sz w:val="20"/>
        </w:rPr>
        <w:t xml:space="preserve">Dữ liệu bao phủ 03/11/2008–30/04/2026 với </w:t>
      </w:r>
      <m:oMath>
        <m:r>
          <m:t>N = 4.512</m:t>
        </m:r>
      </m:oMath>
      <w:r>
        <w:rPr>
          <w:rFonts w:ascii="Times New Roman" w:hAnsi="Times New Roman"/>
          <w:b w:val="0"/>
          <w:i w:val="0"/>
          <w:sz w:val="20"/>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20"/>
            <w:color w:val="1A56DB"/>
          </w:rPr>
          <w:t>[1]</w:t>
        </w:r>
      </w:hyperlink>
      <w:r>
        <w:rPr>
          <w:rFonts w:ascii="Times New Roman" w:hAnsi="Times New Roman"/>
          <w:b w:val="0"/>
          <w:i w:val="0"/>
          <w:sz w:val="20"/>
        </w:rPr>
        <w:t>, DXY, sản lượng dầu, crack-spread, realized volatility và biến lịch.</w:t>
      </w:r>
    </w:p>
    <w:p>
      <w:pPr>
        <w:pStyle w:val="BodyText"/>
        <w:spacing w:before="0" w:after="60" w:line="252" w:lineRule="auto"/>
        <w:jc w:val="both"/>
      </w:pPr>
      <w:r>
        <w:rPr>
          <w:rFonts w:ascii="Times New Roman" w:hAnsi="Times New Roman"/>
          <w:b w:val="0"/>
          <w:i w:val="0"/>
          <w:sz w:val="20"/>
        </w:rPr>
        <w:t xml:space="preserve">Để tránh look-ahead bias, các biến ngày được dùng ở </w:t>
      </w:r>
      <m:oMath>
        <m:r>
          <m:t>t − 1</m:t>
        </m:r>
      </m:oMath>
      <w:r>
        <w:rPr>
          <w:rFonts w:ascii="Times New Roman" w:hAnsi="Times New Roman"/>
          <w:b w:val="0"/>
          <w:i w:val="0"/>
          <w:sz w:val="20"/>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b w:val="0"/>
          <w:i w:val="0"/>
          <w:sz w:val="20"/>
        </w:rP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chịu chuỗi cú sốc địa chính trị dồn dập và phân cụm biến động cực đoan (khủng hoảng Biển Đỏ, căng thẳng Trung Đông, xung đột Nga–Ukraine và biến động hạn ngạch OPEC+). Cụ thể, độ biến động thực tế hàng năm (annualized volatility) của lợi suất trong cửa sổ test ngắn hạn (100 ngày) tăng vọt lên 73,04% đối với MG95 (gấp 1,90 lần mức 38,45% của tập train lịch sử) và 96,29% đối với DO 0.001% (gấp 2,90 lần mức 33,16% của train). Chỉ số rủi ro địa chính trị GPR trong giai đoạn test đạt trung bình 225,66 (gần gấp đôi mức trung bình toàn kỳ 114,60) và đạt đỉnh 500,81 (phân vị 90% đạt 376,48). Biên độ dao động giá trong cửa sổ test H60 ghi nhận mức chênh lệch đỉnh–đáy cực lớn: từ 70,34 đến 170,52 USD/thùng (+142,4%) đối với MG95 và từ 75,90 đến 292,82 USD/thùng (+285,8%) đối với DO 0.001%. Chi tiết phân chia tập train/test và các đặc trưng biến động theo từng horizon được tổng hợp trong </w:t>
      </w:r>
      <w:hyperlink w:anchor="tbl_1" w:history="1">
        <w:r>
          <w:rPr>
            <w:rFonts w:ascii="Times New Roman" w:hAnsi="Times New Roman"/>
            <w:sz w:val="20"/>
            <w:color w:val="1A56DB"/>
          </w:rPr>
          <w:t>Bảng 1</w:t>
        </w:r>
      </w:hyperlink>
      <w:r>
        <w:rPr>
          <w:rFonts w:ascii="Times New Roman" w:hAnsi="Times New Roman"/>
          <w:b w:val="0"/>
          <w:i w:val="0"/>
          <w:sz w:val="20"/>
        </w:rPr>
        <w:t>. Thiết lập này đóng vai trò như một bài kiểm tra áp lực (stress-testing) thực thụ, bảo đảm các mô hình được đánh giá về khả năng thích ứng dưới các chế độ biến động đuôi dày (fat-tailed regimes) thay vì chỉ học trong điều kiện thị trường tĩnh.</w:t>
      </w:r>
    </w:p>
    <w:p>
      <w:bookmarkStart w:id="1" w:name="tbl_1"/>
      <w:pPr>
        <w:pStyle w:val="tablehead"/>
        <w:keepNext/>
        <w:spacing w:before="80" w:after="60" w:line="252" w:lineRule="auto"/>
        <w:jc w:val="center"/>
      </w:pPr>
      <w:r>
        <w:rPr>
          <w:rFonts w:ascii="Times New Roman" w:hAnsi="Times New Roman"/>
          <w:b/>
          <w:sz w:val="17"/>
        </w:rPr>
        <w:t>Bảng 1.</w:t>
      </w:r>
      <w:r>
        <w:rPr>
          <w:rFonts w:ascii="Times New Roman" w:hAnsi="Times New Roman"/>
          <w:b w:val="0"/>
          <w:sz w:val="17"/>
        </w:rPr>
        <w:t xml:space="preserve"> Cấu hình phân chia tập huấn luyện/kiểm thử expanding walk-forward và đặc trưng biến động theo từng horizon.</w:t>
      </w:r>
      <w:bookmarkEnd w:id="1"/>
    </w:p>
    <w:tbl>
      <w:tblPr>
        <w:tblLook w:firstColumn="1" w:firstRow="1" w:lastColumn="0" w:lastRow="0" w:noHBand="0" w:noVBand="1" w:val="04A0"/>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trPr>
          <w:cantSplit/>
          <w:tblHeader/>
          <w:cantSplit/>
          <w:tblHeader/>
        </w:trPr>
        <w:tc>
          <w:tcPr>
            <w:tcMar>
              <w:top w:w="80" w:type="dxa"/>
              <w:bottom w:w="80" w:type="dxa"/>
              <w:left w:w="80" w:type="dxa"/>
              <w:right w:w="80" w:type="dxa"/>
            </w:tcMar>
            <w:shd w:val="clear" w:color="auto" w:fill="FFFFFF"/>
            <w:tcMar>
              <w:top w:w="80" w:type="dxa"/>
              <w:bottom w:w="80" w:type="dxa"/>
              <w:left w:w="80" w:type="dxa"/>
              <w:right w:w="80" w:type="dxa"/>
            </w:tcMar>
            <w:tcW w:w="560" w:type="dxa"/>
            <w:tcBorders>
              <w:bottom w:val="single" w:sz="4" w:space="0" w:color="000000"/>
            </w:tcBorders>
          </w:tcPr>
          <w:p>
            <w:pPr>
              <w:spacing w:before="40" w:after="40" w:line="252" w:lineRule="auto"/>
              <w:jc w:val="center"/>
            </w:pPr>
            <w:r>
              <w:rPr>
                <w:b/>
                <w:rFonts w:ascii="Times New Roman" w:hAnsi="Times New Roman"/>
                <w:sz w:val="16"/>
                <w:b/>
              </w:rPr>
              <w:t>Horizon</w:t>
            </w:r>
          </w:p>
        </w:tc>
        <w:tc>
          <w:tcPr>
            <w:tcMar>
              <w:top w:w="80" w:type="dxa"/>
              <w:bottom w:w="80" w:type="dxa"/>
              <w:left w:w="80" w:type="dxa"/>
              <w:right w:w="80" w:type="dxa"/>
            </w:tcMar>
            <w:shd w:val="clear" w:color="auto" w:fill="FFFFFF"/>
            <w:tcMar>
              <w:top w:w="80" w:type="dxa"/>
              <w:bottom w:w="80" w:type="dxa"/>
              <w:left w:w="80" w:type="dxa"/>
              <w:right w:w="80" w:type="dxa"/>
            </w:tcMar>
            <w:tcW w:w="1180" w:type="dxa"/>
            <w:tcBorders>
              <w:bottom w:val="single" w:sz="4" w:space="0" w:color="000000"/>
            </w:tcBorders>
          </w:tcPr>
          <w:p>
            <w:pPr>
              <w:spacing w:before="40" w:after="40" w:line="252" w:lineRule="auto"/>
              <w:jc w:val="center"/>
            </w:pPr>
            <w:r>
              <w:rPr>
                <w:b/>
                <w:rFonts w:ascii="Times New Roman" w:hAnsi="Times New Roman"/>
                <w:sz w:val="16"/>
                <w:b/>
              </w:rPr>
              <w:t>Cửa sổ 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Khoảng thời gian 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MG95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DO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GPR Test (TB / Max)</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Biên độ giá Test (USD/thùng)</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 H3, H5</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11/12/2025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38,45% → 73,04% (1,90×)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33,16% → 96,29% (2,90×)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225,66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H7</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150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02/10/2025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38,61% → 60,75% (1,57×)</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33,20% → 80,59% (2,43×)</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197,51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200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24/07/2025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38,77% → 53,60% (1,38×)</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33,31% → 70,63% (2,12×)</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184,98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H20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300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10/03/2025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38,95% → 47,24% (1,21×)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33,35% → 60,50% (1,81×)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184,47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H60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600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10/01/2024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39,81% → 37,86% (0,95×)</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33,93% → 46,20% (1,36×)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165,51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bl>
    <w:p>
      <w:pPr>
        <w:pStyle w:val="Heading2"/>
        <w:keepNext/>
        <w:spacing w:before="120" w:after="40" w:line="252" w:lineRule="auto"/>
        <w:jc w:val="left"/>
        <w:outlineLvl w:val="1"/>
      </w:pPr>
      <w:r>
        <w:rPr>
          <w:rFonts w:ascii="Times New Roman" w:hAnsi="Times New Roman"/>
          <w:b/>
          <w:i/>
          <w:sz w:val="19"/>
        </w:rPr>
        <w:t>4.2. Kiểm định thống kê và cấu hình huấn luyện</w:t>
      </w:r>
    </w:p>
    <w:p>
      <w:pPr>
        <w:pStyle w:val="BodyText"/>
        <w:spacing w:before="0" w:after="60" w:line="252" w:lineRule="auto"/>
        <w:jc w:val="both"/>
      </w:pPr>
      <w:r>
        <w:rPr>
          <w:rFonts w:ascii="Times New Roman" w:hAnsi="Times New Roman"/>
          <w:b w:val="0"/>
          <w:i w:val="0"/>
          <w:sz w:val="20"/>
        </w:rPr>
        <w:t xml:space="preserve">Kiểm định ADF và KPSS trong </w:t>
      </w:r>
      <w:hyperlink w:anchor="tbl_2" w:history="1">
        <w:r>
          <w:rPr>
            <w:rFonts w:ascii="Times New Roman" w:hAnsi="Times New Roman"/>
            <w:sz w:val="20"/>
            <w:color w:val="1A56DB"/>
          </w:rPr>
          <w:t>Bảng 2</w:t>
        </w:r>
      </w:hyperlink>
      <w:r>
        <w:rPr>
          <w:rFonts w:ascii="Times New Roman" w:hAnsi="Times New Roman"/>
          <w:b w:val="0"/>
          <w:i w:val="0"/>
          <w:sz w:val="20"/>
        </w:rPr>
        <w:t xml:space="preserve"> cho bằng chứng về tính dừng ở mức giá; sau chuyển log-return, kiểm định ADF bác bỏ giả thuyết nghiệm đơn vị (</w:t>
      </w:r>
      <m:oMath>
        <m:r>
          <m:t>p &lt; 0.001</m:t>
        </m:r>
      </m:oMath>
      <w:r>
        <w:rPr>
          <w:rFonts w:ascii="Times New Roman" w:hAnsi="Times New Roman"/>
          <w:b w:val="0"/>
          <w:i w:val="0"/>
          <w:sz w:val="20"/>
        </w:rPr>
        <w:t>) trên tất cả các chuỗi. Độ nhọn (Kurtosis) của lợi suất rất cao (đạt 213,35 ở WTI và 17,51 ở MG95), khẳng định tính chất đuôi dày và các cú sốc cực đoan trong chuỗi giá năng lượng.</w:t>
      </w:r>
    </w:p>
    <w:p>
      <w:bookmarkStart w:id="2" w:name="tbl_2"/>
      <w:pPr>
        <w:pStyle w:val="tablehead"/>
        <w:keepNext/>
        <w:spacing w:before="80" w:after="60" w:line="252" w:lineRule="auto"/>
        <w:jc w:val="center"/>
      </w:pPr>
      <w:r>
        <w:rPr>
          <w:rFonts w:ascii="Times New Roman" w:hAnsi="Times New Roman"/>
          <w:b/>
          <w:sz w:val="17"/>
        </w:rPr>
        <w:t>Bảng 2.</w:t>
      </w:r>
      <w:r>
        <w:rPr>
          <w:rFonts w:ascii="Times New Roman" w:hAnsi="Times New Roman"/>
          <w:b w:val="0"/>
          <w:sz w:val="17"/>
        </w:rPr>
        <w:t xml:space="preserve"> Chẩn đoán thống kê rút gọn của các chuỗi chính.</w:t>
      </w:r>
      <w:bookmarkEnd w:id="2"/>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Chuỗi</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ADF mức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KPSS mức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ADF return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Kurtosis</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MG95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0.023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17.51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DO 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0.505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14.69</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WTI</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0.033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213.35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1.52</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DXY</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0.555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4.38</w:t>
            </w:r>
          </w:p>
        </w:tc>
      </w:tr>
    </w:tbl>
    <w:p>
      <w:pPr>
        <w:pStyle w:val="BodyText"/>
        <w:spacing w:before="0" w:after="60" w:line="252" w:lineRule="auto"/>
        <w:jc w:val="both"/>
      </w:pPr>
      <w:r>
        <w:rPr>
          <w:rFonts w:ascii="Times New Roman" w:hAnsi="Times New Roman"/>
          <w:b w:val="0"/>
          <w:i w:val="0"/>
          <w:sz w:val="20"/>
        </w:rPr>
        <w:t>Cài đặt trong bài báo sử dụng PyTorch 2.1/Python 3.10, AdamW (lr=10⁻³, weight decay=10⁻⁴), batch size 64, tối đa 100 epoch với early stopping 10. Các expert có hidden size 128, router MLP 64. Phần cứng: Xeon Silver 4216, 512 GB RAM, 4×Tesla T4 16 GB.</w:t>
      </w:r>
    </w:p>
    <w:p>
      <w:pPr>
        <w:pStyle w:val="Heading2"/>
        <w:keepNext/>
        <w:spacing w:before="120" w:after="40" w:line="252" w:lineRule="auto"/>
        <w:jc w:val="left"/>
        <w:outlineLvl w:val="1"/>
      </w:pPr>
      <w:r>
        <w:rPr>
          <w:rFonts w:ascii="Times New Roman" w:hAnsi="Times New Roman"/>
          <w:b/>
          <w:i/>
          <w:sz w:val="19"/>
        </w:rPr>
        <w:t>4.3. Baseline và chỉ số đánh giá</w:t>
      </w:r>
    </w:p>
    <w:p>
      <w:pPr>
        <w:pStyle w:val="BodyText"/>
        <w:spacing w:before="0" w:after="60" w:line="252" w:lineRule="auto"/>
        <w:jc w:val="both"/>
      </w:pPr>
      <w:r>
        <w:rPr>
          <w:rFonts w:ascii="Times New Roman" w:hAnsi="Times New Roman"/>
          <w:b w:val="0"/>
          <w:i w:val="0"/>
          <w:sz w:val="20"/>
        </w:rPr>
        <w:t xml:space="preserve">Các baseline dùng để so sánh gồm 6 mô hình đại diện tiêu biểu: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TFT </w:t>
      </w:r>
      <w:hyperlink w:anchor="ref_12" w:history="1">
        <w:r>
          <w:rPr>
            <w:rFonts w:ascii="Times New Roman" w:hAnsi="Times New Roman"/>
            <w:sz w:val="20"/>
            <w:color w:val="1A56DB"/>
          </w:rPr>
          <w:t>[12]</w:t>
        </w:r>
      </w:hyperlink>
      <w:r>
        <w:rPr>
          <w:rFonts w:ascii="Times New Roman" w:hAnsi="Times New Roman"/>
          <w:b w:val="0"/>
          <w:i w:val="0"/>
          <w:sz w:val="20"/>
        </w:rPr>
        <w:t xml:space="preserve">, và N-HiTS </w:t>
      </w:r>
      <w:hyperlink w:anchor="ref_14" w:history="1">
        <w:r>
          <w:rPr>
            <w:rFonts w:ascii="Times New Roman" w:hAnsi="Times New Roman"/>
            <w:sz w:val="20"/>
            <w:color w:val="1A56DB"/>
          </w:rPr>
          <w:t>[14]</w:t>
        </w:r>
      </w:hyperlink>
      <w:r>
        <w:rPr>
          <w:rFonts w:ascii="Times New Roman" w:hAnsi="Times New Roman"/>
          <w:b w:val="0"/>
          <w:i w:val="0"/>
          <w:sz w:val="20"/>
        </w:rPr>
        <w:t xml:space="preserve">. Các chỉ số đánh giá gồm MAE, RMSE, MAPE (%), </w:t>
      </w:r>
      <m:oMath>
        <m:sSup>
          <m:e>
            <m:r>
              <m:t>R</m:t>
            </m:r>
          </m:e>
          <m:sup>
            <m:r>
              <m:t>2</m:t>
            </m:r>
          </m:sup>
        </m:sSup>
      </m:oMath>
      <w:r>
        <w:rPr>
          <w:rFonts w:ascii="Times New Roman" w:hAnsi="Times New Roman"/>
          <w:b w:val="0"/>
          <w:i w:val="0"/>
          <w:sz w:val="20"/>
        </w:rPr>
        <w:t xml:space="preserve">, và Directional Accuracy (DA, %). Đánh giá phân vị sử dụng PICP (Prediction Interval Coverage Probability) và PINAW (Prediction Interval Normalized Average Width) trên </w:t>
      </w:r>
      <m:oMath>
        <m:r>
          <m:t>[</m:t>
        </m:r>
        <m:sSub>
          <m:e>
            <m:r>
              <m:t>q</m:t>
            </m:r>
          </m:e>
          <m:sub>
            <m:r>
              <m:t>0.1</m:t>
            </m:r>
          </m:sub>
        </m:sSub>
        <m:r>
          <m:t>, </m:t>
        </m:r>
        <m:sSub>
          <m:e>
            <m:r>
              <m:t>q</m:t>
            </m:r>
          </m:e>
          <m:sub>
            <m:r>
              <m:t>0.9</m:t>
            </m:r>
          </m:sub>
        </m:sSub>
        <m:r>
          <m:t>]</m:t>
        </m:r>
      </m:oMath>
      <w:r>
        <w:rPr>
          <w:rFonts w:ascii="Times New Roman" w:hAnsi="Times New Roman"/>
          <w:b w:val="0"/>
          <w:i w:val="0"/>
          <w:sz w:val="20"/>
        </w:rPr>
        <w:t>.</w:t>
      </w:r>
    </w:p>
    <w:p>
      <w:pPr>
        <w:pStyle w:val="Heading1"/>
        <w:keepNext/>
        <w:spacing w:before="160" w:after="60" w:line="252" w:lineRule="auto"/>
        <w:jc w:val="center"/>
        <w:outlineLvl w:val="0"/>
      </w:pPr>
      <w:r>
        <w:rPr>
          <w:rFonts w:ascii="Times New Roman" w:hAnsi="Times New Roman"/>
          <w:b/>
          <w:sz w:val="20"/>
        </w:rPr>
        <w:t>5. KẾT QUẢ VÀ THẢO LUẬN</w:t>
      </w:r>
    </w:p>
    <w:p>
      <w:pPr>
        <w:pStyle w:val="Heading2"/>
        <w:keepNext/>
        <w:spacing w:before="120" w:after="40" w:line="252" w:lineRule="auto"/>
        <w:jc w:val="left"/>
        <w:outlineLvl w:val="1"/>
      </w:pPr>
      <w:r>
        <w:rPr>
          <w:rFonts w:ascii="Times New Roman" w:hAnsi="Times New Roman"/>
          <w:b/>
          <w:i/>
          <w:sz w:val="19"/>
        </w:rPr>
        <w:t>5.1. Hiệu năng điểm đa horizon</w:t>
      </w:r>
    </w:p>
    <w:p>
      <w:pPr>
        <w:pStyle w:val="BodyText"/>
        <w:spacing w:before="0" w:after="60" w:line="252" w:lineRule="auto"/>
        <w:jc w:val="both"/>
      </w:pPr>
      <w:hyperlink w:anchor="fig_2" w:history="1">
        <w:r>
          <w:rPr>
            <w:rFonts w:ascii="Times New Roman" w:hAnsi="Times New Roman"/>
            <w:sz w:val="20"/>
            <w:color w:val="1A56DB"/>
          </w:rPr>
          <w:t>Hình 2</w:t>
        </w:r>
      </w:hyperlink>
      <w:r>
        <w:rPr>
          <w:rFonts w:ascii="Times New Roman" w:hAnsi="Times New Roman"/>
          <w:b w:val="0"/>
          <w:i w:val="0"/>
          <w:sz w:val="20"/>
        </w:rPr>
        <w:t xml:space="preserve"> cùng </w:t>
      </w:r>
      <w:hyperlink w:anchor="tbl_3" w:history="1">
        <w:r>
          <w:rPr>
            <w:rFonts w:ascii="Times New Roman" w:hAnsi="Times New Roman"/>
            <w:sz w:val="20"/>
            <w:color w:val="1A56DB"/>
          </w:rPr>
          <w:t>Bảng 3</w:t>
        </w:r>
      </w:hyperlink>
      <w:r>
        <w:rPr>
          <w:rFonts w:ascii="Times New Roman" w:hAnsi="Times New Roman"/>
          <w:b w:val="0"/>
          <w:i w:val="0"/>
          <w:sz w:val="20"/>
        </w:rPr>
        <w:t xml:space="preserve"> và </w:t>
      </w:r>
      <w:hyperlink w:anchor="tbl_4" w:history="1">
        <w:r>
          <w:rPr>
            <w:rFonts w:ascii="Times New Roman" w:hAnsi="Times New Roman"/>
            <w:sz w:val="20"/>
            <w:color w:val="1A56DB"/>
          </w:rPr>
          <w:t>Bảng 4</w:t>
        </w:r>
      </w:hyperlink>
      <w:r>
        <w:rPr>
          <w:rFonts w:ascii="Times New Roman" w:hAnsi="Times New Roman"/>
          <w:b w:val="0"/>
          <w:i w:val="0"/>
          <w:sz w:val="20"/>
        </w:rPr>
        <w:t xml:space="preserve"> cho thấy GUMNetHet duy trì MAE thấp hơn nhóm baseline được báo cáo ở cả hai sản phẩm trên toàn bộ các horizon, đặc biệt vượt trội ở H20–H60 trong bối cảnh tập test trải qua biên độ dao động giá lên tới +142,4% (MG95) và +285,8% (DO). Ở H60, MAE của xăng là 4,847 so với 6,933 của baseline tốt nhất (giảm 30,1%); với dầu là 7,066 so với 9,167 (giảm 22,9%). Tuy nhiên, </w:t>
      </w:r>
      <m:oMath>
        <m:sSup>
          <m:e>
            <m:r>
              <m:t>R</m:t>
            </m:r>
          </m:e>
          <m:sup>
            <m:r>
              <m:t>2</m:t>
            </m:r>
          </m:sup>
        </m:sSup>
      </m:oMath>
      <w:r>
        <w:rPr>
          <w:rFonts w:ascii="Times New Roman" w:hAnsi="Times New Roman"/>
          <w:b w:val="0"/>
          <w:i w:val="0"/>
          <w:sz w:val="20"/>
        </w:rPr>
        <w:t xml:space="preserve"> tại H60 giảm còn 0,155 (xăng) và −0,007 (dầu), vì vậy kết quả dài hạn nên được hiểu là ổn định sai số mức giá tốt hơn baseline trong môi trường biến động mạnh, không phải dự báo quỹ đạo dài hạn hoàn hảo.</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005029"/>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154680" cy="2005029"/>
                    </a:xfrm>
                    <a:prstGeom prst="rect"/>
                  </pic:spPr>
                </pic:pic>
              </a:graphicData>
            </a:graphic>
          </wp:inline>
        </w:drawing>
      </w:r>
    </w:p>
    <w:p>
      <w:bookmarkStart w:id="2" w:name="fig_2"/>
      <w:pPr>
        <w:pStyle w:val="figurecaption"/>
        <w:keepNext/>
        <w:spacing w:before="80" w:after="60" w:line="252" w:lineRule="auto"/>
        <w:jc w:val="left"/>
      </w:pPr>
      <w:r>
        <w:rPr>
          <w:rFonts w:ascii="Times New Roman" w:hAnsi="Times New Roman"/>
          <w:b/>
          <w:sz w:val="17"/>
        </w:rPr>
        <w:t>Hình 2.</w:t>
      </w:r>
      <w:r>
        <w:rPr>
          <w:rFonts w:ascii="Times New Roman" w:hAnsi="Times New Roman"/>
          <w:b w:val="0"/>
          <w:sz w:val="17"/>
        </w:rPr>
        <w:t xml:space="preserve"> Đường cong MAE và R² qua bảy horizon cho MG95 và DO 0.001% (Seed=42).</w:t>
      </w:r>
      <w:bookmarkEnd w:id="2"/>
    </w:p>
    <w:p>
      <w:bookmarkStart w:id="3" w:name="tbl_3"/>
      <w:pPr>
        <w:pStyle w:val="tablehead"/>
        <w:keepNext/>
        <w:spacing w:before="80" w:after="60" w:line="252" w:lineRule="auto"/>
        <w:jc w:val="center"/>
      </w:pPr>
      <w:r>
        <w:rPr>
          <w:rFonts w:ascii="Times New Roman" w:hAnsi="Times New Roman"/>
          <w:b/>
          <w:sz w:val="17"/>
        </w:rPr>
        <w:t>Bảng 3.</w:t>
      </w:r>
      <w:r>
        <w:rPr>
          <w:rFonts w:ascii="Times New Roman" w:hAnsi="Times New Roman"/>
          <w:b w:val="0"/>
          <w:sz w:val="17"/>
        </w:rPr>
        <w:t xml:space="preserve"> Kết quả chi tiết trên MG95 (Seed=42). MAE/RMSE tính theo USD/thùng; giá trị DA là phần trăm.</w:t>
      </w:r>
      <w:bookmarkEnd w:id="3"/>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Mô hình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91.46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2.8834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2.9809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5.3918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3.1192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5.7423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59.09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3.0237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3.3320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3.0436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8.4898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8.3000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8.7446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8.8658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44.39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5.4216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10.0286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8.7883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4.8892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5.5400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38.89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5.8835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11.2085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5.5504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4.0695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7.6785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95.56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8.5689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8.6611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4.3970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0.8522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9.9338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10.1940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50.13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44.60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10.1585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9.9822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5.4115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5.8312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11.0895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0.6965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0.6779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7.1888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6.5672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12.5417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0.6119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6.6974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12.1714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0.6344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5.9577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11.3518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44.48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10.4474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7.3983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14.1515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6.9327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13.6722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-0.0987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8.7212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16.0547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13.7963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7.5070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14.4158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-0.2215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13.8894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46.16</w:t>
            </w:r>
          </w:p>
        </w:tc>
      </w:tr>
    </w:tbl>
    <w:p>
      <w:bookmarkStart w:id="4" w:name="tbl_4"/>
      <w:pPr>
        <w:pStyle w:val="tablehead"/>
        <w:keepNext/>
        <w:spacing w:before="80" w:after="60" w:line="252" w:lineRule="auto"/>
        <w:jc w:val="center"/>
      </w:pPr>
      <w:r>
        <w:rPr>
          <w:rFonts w:ascii="Times New Roman" w:hAnsi="Times New Roman"/>
          <w:b/>
          <w:sz w:val="17"/>
        </w:rPr>
        <w:t>Bảng 4.</w:t>
      </w:r>
      <w:r>
        <w:rPr>
          <w:rFonts w:ascii="Times New Roman" w:hAnsi="Times New Roman"/>
          <w:b w:val="0"/>
          <w:sz w:val="17"/>
        </w:rPr>
        <w:t xml:space="preserve"> Kết quả chi tiết trên DO 0.001% (Seed=42).</w:t>
      </w:r>
      <w:bookmarkEnd w:id="4"/>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Mô hình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5.6023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62.12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12.0048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6.0768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11.8132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58.08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6.0346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11.6526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11.7740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17.0380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9.0363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17.6157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10.0366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19.3143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9.5007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17.9989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18.8569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9.4605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18.4546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9.2159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16.2954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10.6900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18.1687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52.02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17.0064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11.5665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19.6444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19.0864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10.5636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17.5114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18.3317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21.2867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11.0220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22.1113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11.7217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23.1415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10.3087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20.3122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23.0828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54.79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9.1926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32.29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9.8507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20.6902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19.9194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47.04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20.9276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48.71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9.7097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19.8244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20.7135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12.4936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26.8776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13.4284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28.6245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0.4799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47.16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27.5688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12.2271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25.8642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0.5753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7.0664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18.0187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10.1792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24.4469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9.3447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23.8920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9.5859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24.3673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24.0682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23.6800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47.80</w:t>
            </w:r>
          </w:p>
        </w:tc>
      </w:tr>
    </w:tbl>
    <w:p>
      <w:pPr>
        <w:pStyle w:val="Heading2"/>
        <w:keepNext/>
        <w:spacing w:before="120" w:after="40" w:line="252" w:lineRule="auto"/>
        <w:jc w:val="left"/>
        <w:outlineLvl w:val="1"/>
      </w:pPr>
      <w:r>
        <w:rPr>
          <w:rFonts w:ascii="Times New Roman" w:hAnsi="Times New Roman"/>
          <w:b/>
          <w:i/>
          <w:sz w:val="19"/>
        </w:rPr>
        <w:t>5.2. Độ chính xác xu hướng</w:t>
      </w:r>
    </w:p>
    <w:p>
      <w:pPr>
        <w:pStyle w:val="BodyText"/>
        <w:spacing w:before="0" w:after="60" w:line="252" w:lineRule="auto"/>
        <w:jc w:val="both"/>
      </w:pPr>
      <w:r>
        <w:rPr>
          <w:rFonts w:ascii="Times New Roman" w:hAnsi="Times New Roman"/>
          <w:b w:val="0"/>
          <w:i w:val="0"/>
          <w:sz w:val="20"/>
        </w:rPr>
        <w:t xml:space="preserve">Độ chính xác hướng trong </w:t>
      </w:r>
      <w:hyperlink w:anchor="fig_3" w:history="1">
        <w:r>
          <w:rPr>
            <w:rFonts w:ascii="Times New Roman" w:hAnsi="Times New Roman"/>
            <w:sz w:val="20"/>
            <w:color w:val="1A56DB"/>
          </w:rPr>
          <w:t>Hình 3</w:t>
        </w:r>
      </w:hyperlink>
      <w:r>
        <w:rPr>
          <w:rFonts w:ascii="Times New Roman" w:hAnsi="Times New Roman"/>
          <w:b w:val="0"/>
          <w:i w:val="0"/>
          <w:sz w:val="20"/>
        </w:rPr>
        <w:t xml:space="preserve"> cho thấy một hành vi khác biệt rõ rệt giữa ngắn hạn và dài hạn. Với xăng (</w:t>
      </w:r>
      <w:hyperlink w:anchor="tbl_3" w:history="1">
        <w:r>
          <w:rPr>
            <w:rFonts w:ascii="Times New Roman" w:hAnsi="Times New Roman"/>
            <w:sz w:val="20"/>
            <w:color w:val="1A56DB"/>
          </w:rPr>
          <w:t>Bảng 3</w:t>
        </w:r>
      </w:hyperlink>
      <w:r>
        <w:rPr>
          <w:rFonts w:ascii="Times New Roman" w:hAnsi="Times New Roman"/>
          <w:b w:val="0"/>
          <w:i w:val="0"/>
          <w:sz w:val="20"/>
        </w:rPr>
        <w:t>), GUMNetHet đạt DA rất cao từ 90,95% đến 95,56% ở H1–H7; với dầu (</w:t>
      </w:r>
      <w:hyperlink w:anchor="tbl_4" w:history="1">
        <w:r>
          <w:rPr>
            <w:rFonts w:ascii="Times New Roman" w:hAnsi="Times New Roman"/>
            <w:sz w:val="20"/>
            <w:color w:val="1A56DB"/>
          </w:rPr>
          <w:t>Bảng 4</w:t>
        </w:r>
      </w:hyperlink>
      <w:r>
        <w:rPr>
          <w:rFonts w:ascii="Times New Roman" w:hAnsi="Times New Roman"/>
          <w:b w:val="0"/>
          <w:i w:val="0"/>
          <w:sz w:val="20"/>
        </w:rPr>
        <w:t>) tương ứng là 76,65% đến 84,92%. Ở H20, DA vẫn duy trì ở mức cao (91,65% xăng; 71,11% dầu). Tuy nhiên, tại H10 và H60, DA giảm dưới 50% (lần lượt 42,24%/27,95% cho xăng và 32,29%/19,10% cho dầu). Hiện tượng này hoàn toàn phù hợp với nguyên lý kinh tế lượng tài chính: ở horizon dài (H60 tương đương gần 3 tháng), giá dầu tiệm cận bước đi ngẫu nhiên (near random walk) với tính bất định tích lũy lũy thừa, khiến việc đoán hướng trở nên nhiễu. Thay vì phán đoán hướng cực đoan dễ dẫn đến bùng nổ sai số, cơ chế residual scaling của GUMNetHet chủ động co dự báo về vùng giá trị an toàn nhằm tối thiểu hóa sai số tuyệt đối (MAE giảm 30,1% ở H60). Do đó, GUMNetHet đóng vai trò như công cụ sinh tín hiệu giao dịch hướng ở ngắn hạn (H1–H7), và chuyển sang vai trò công cụ quản trị sai số mức giá cùng định lượng biên bất định ở dài hạn (H10–H60).</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1091242"/>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3154680" cy="1091242"/>
                    </a:xfrm>
                    <a:prstGeom prst="rect"/>
                  </pic:spPr>
                </pic:pic>
              </a:graphicData>
            </a:graphic>
          </wp:inline>
        </w:drawing>
      </w:r>
    </w:p>
    <w:p>
      <w:bookmarkStart w:id="3" w:name="fig_3"/>
      <w:pPr>
        <w:pStyle w:val="figurecaption"/>
        <w:keepNext/>
        <w:spacing w:before="80" w:after="60" w:line="252" w:lineRule="auto"/>
        <w:jc w:val="left"/>
      </w:pPr>
      <w:r>
        <w:rPr>
          <w:rFonts w:ascii="Times New Roman" w:hAnsi="Times New Roman"/>
          <w:b/>
          <w:sz w:val="17"/>
        </w:rPr>
        <w:t>Hình 3.</w:t>
      </w:r>
      <w:r>
        <w:rPr>
          <w:rFonts w:ascii="Times New Roman" w:hAnsi="Times New Roman"/>
          <w:b w:val="0"/>
          <w:sz w:val="17"/>
        </w:rPr>
        <w:t xml:space="preserve"> Directional accuracy (DA%) của GUMNetHet và các baseline qua H1–H60 cho xăng và dầu.</w:t>
      </w:r>
      <w:bookmarkEnd w:id="3"/>
    </w:p>
    <w:p>
      <w:pPr>
        <w:pStyle w:val="Heading2"/>
        <w:keepNext/>
        <w:spacing w:before="120" w:after="40" w:line="252" w:lineRule="auto"/>
        <w:jc w:val="left"/>
        <w:outlineLvl w:val="1"/>
      </w:pPr>
      <w:r>
        <w:rPr>
          <w:rFonts w:ascii="Times New Roman" w:hAnsi="Times New Roman"/>
          <w:b/>
          <w:i/>
          <w:sz w:val="19"/>
        </w:rPr>
        <w:t>5.3. Dự báo xác suất, ablation và hành vi router</w:t>
      </w:r>
    </w:p>
    <w:p>
      <w:pPr>
        <w:pStyle w:val="BodyText"/>
        <w:spacing w:before="0" w:after="60" w:line="252" w:lineRule="auto"/>
        <w:jc w:val="both"/>
      </w:pPr>
      <w:r>
        <w:rPr>
          <w:rFonts w:ascii="Times New Roman" w:hAnsi="Times New Roman"/>
          <w:b w:val="0"/>
          <w:i w:val="0"/>
          <w:sz w:val="20"/>
        </w:rPr>
        <w:t xml:space="preserve">Khoảng phân vị </w:t>
      </w:r>
      <m:oMath>
        <m:r>
          <m:t>[</m:t>
        </m:r>
        <m:sSub>
          <m:e>
            <m:r>
              <m:t>q</m:t>
            </m:r>
          </m:e>
          <m:sub>
            <m:r>
              <m:t>0.1</m:t>
            </m:r>
          </m:sub>
        </m:sSub>
        <m:r>
          <m:t>, </m:t>
        </m:r>
        <m:sSub>
          <m:e>
            <m:r>
              <m:t>q</m:t>
            </m:r>
          </m:e>
          <m:sub>
            <m:r>
              <m:t>0.9</m:t>
            </m:r>
          </m:sub>
        </m:sSub>
        <m:r>
          <m:t>]</m:t>
        </m:r>
      </m:oMath>
      <w:r>
        <w:rPr>
          <w:rFonts w:ascii="Times New Roman" w:hAnsi="Times New Roman"/>
          <w:b w:val="0"/>
          <w:i w:val="0"/>
          <w:sz w:val="20"/>
        </w:rPr>
        <w:t xml:space="preserve"> đạt tỷ lệ bao phủ thực tế PICP=82,4% (vượt mức danh định 80%) cùng độ rộng dải chuẩn hóa PINAW=0,142. Kết quả này khẳng định mô hình không bị ước lượng thiếu bất định (under-coverage), đồng thời duy trì dải dự báo sắc nét (sharpness), hỗ trợ đắc lực cho các doanh nghiệp đầu mối xăng dầu (Petrolimex, PVOIL) trong việc định giá hợp đồng kỳ hạn, thiết lập mức tồn kho đệm an toàn và tối ưu hóa chi phí phòng hộ rủi ro (hedging). </w:t>
      </w:r>
      <w:hyperlink w:anchor="fig_4" w:history="1">
        <w:r>
          <w:rPr>
            <w:rFonts w:ascii="Times New Roman" w:hAnsi="Times New Roman"/>
            <w:sz w:val="20"/>
            <w:color w:val="1A56DB"/>
          </w:rPr>
          <w:t>Hình 4</w:t>
        </w:r>
      </w:hyperlink>
      <w:r>
        <w:rPr>
          <w:rFonts w:ascii="Times New Roman" w:hAnsi="Times New Roman"/>
          <w:b w:val="0"/>
          <w:i w:val="0"/>
          <w:sz w:val="20"/>
        </w:rPr>
        <w:t xml:space="preserve"> cho thấy biên bất định tự động mở rộng tương ứng khi biến động thị trường gia tăng. Ablation trong </w:t>
      </w:r>
      <w:hyperlink w:anchor="tbl_5" w:history="1">
        <w:r>
          <w:rPr>
            <w:rFonts w:ascii="Times New Roman" w:hAnsi="Times New Roman"/>
            <w:sz w:val="20"/>
            <w:color w:val="1A56DB"/>
          </w:rPr>
          <w:t>Bảng 5</w:t>
        </w:r>
      </w:hyperlink>
      <w:r>
        <w:rPr>
          <w:rFonts w:ascii="Times New Roman" w:hAnsi="Times New Roman"/>
          <w:b w:val="0"/>
          <w:i w:val="0"/>
          <w:sz w:val="20"/>
        </w:rPr>
        <w:t xml:space="preserve"> chứng minh thay Wav-KAN bằng MLP gây suy giảm lớn nhất trong các biến thể expert; router đồng nhất cũng làm MAE tăng đáng kể, củng cố vai trò của chuyên môn hóa và định tuyến thích ứng.</w:t>
      </w:r>
    </w:p>
    <w:p>
      <w:bookmarkStart w:id="5" w:name="tbl_5"/>
      <w:pPr>
        <w:pStyle w:val="tablehead"/>
        <w:keepNext/>
        <w:spacing w:before="80" w:after="60" w:line="252" w:lineRule="auto"/>
        <w:jc w:val="center"/>
      </w:pPr>
      <w:r>
        <w:rPr>
          <w:rFonts w:ascii="Times New Roman" w:hAnsi="Times New Roman"/>
          <w:b/>
          <w:sz w:val="17"/>
        </w:rPr>
        <w:t>Bảng 5.</w:t>
      </w:r>
      <w:r>
        <w:rPr>
          <w:rFonts w:ascii="Times New Roman" w:hAnsi="Times New Roman"/>
          <w:b w:val="0"/>
          <w:sz w:val="17"/>
        </w:rPr>
        <w:t xml:space="preserve"> Ablation rút gọn của GUMNetHet (Seed=42).</w:t>
      </w:r>
      <w:bookmarkEnd w:id="5"/>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Biến thể</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A55067">
            <w:pPr>
              <w:spacing w:before="40" w:line="252" w:lineRule="auto" w:after="40"/>
              <w:jc w:val="center"/>
            </w:pPr>
            <w:r>
              <w:rPr>
                <w:b/>
                <w:rFonts w:ascii="Times New Roman" w:hAnsi="Times New Roman"/>
                <w:sz w:val="16"/>
                <w:b/>
              </w:rPr>
              <w:t>MG</w:t>
            </w:r>
            <w:r>
              <w:rPr>
                <w:b/>
                <w:lang w:val="vi-VN"/>
                <w:rFonts w:ascii="Times New Roman" w:hAnsi="Times New Roman"/>
                <w:sz w:val="16"/>
                <w:b/>
              </w:rPr>
              <w:t>95</w:t>
            </w:r>
            <w:r w:rsidR="00000000">
              <w:rPr>
                <w:b/>
                <w:rFonts w:ascii="Times New Roman" w:hAnsi="Times New Roman"/>
                <w:sz w:val="16"/>
                <w:b/>
              </w:rPr>
              <w:t>-H3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A55067">
            <w:pPr>
              <w:spacing w:before="40" w:line="252" w:lineRule="auto" w:after="40"/>
              <w:jc w:val="center"/>
            </w:pPr>
            <w:r>
              <w:rPr>
                <w:b/>
                <w:rFonts w:ascii="Times New Roman" w:hAnsi="Times New Roman"/>
                <w:sz w:val="16"/>
                <w:b/>
              </w:rPr>
              <w:t>MG</w:t>
            </w:r>
            <w:r>
              <w:rPr>
                <w:b/>
                <w:lang w:val="vi-VN"/>
                <w:rFonts w:ascii="Times New Roman" w:hAnsi="Times New Roman"/>
                <w:sz w:val="16"/>
                <w:b/>
              </w:rPr>
              <w:t>95</w:t>
            </w:r>
            <w:r w:rsidR="00000000">
              <w:rPr>
                <w:b/>
                <w:rFonts w:ascii="Times New Roman" w:hAnsi="Times New Roman"/>
                <w:sz w:val="16"/>
                <w:b/>
              </w:rPr>
              <w:t>-H3 R²</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w:t>
            </w:r>
            <w:r w:rsidR="00A55067">
              <w:rPr>
                <w:b/>
                <w:rFonts w:ascii="Times New Roman" w:hAnsi="Times New Roman"/>
                <w:sz w:val="16"/>
                <w:b/>
              </w:rPr>
              <w:t>O</w:t>
            </w:r>
            <w:r>
              <w:rPr>
                <w:b/>
                <w:rFonts w:ascii="Times New Roman" w:hAnsi="Times New Roman"/>
                <w:sz w:val="16"/>
                <w:b/>
              </w:rPr>
              <w:t>-H5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w:t>
            </w:r>
            <w:r w:rsidR="00A55067">
              <w:rPr>
                <w:b/>
                <w:rFonts w:ascii="Times New Roman" w:hAnsi="Times New Roman"/>
                <w:sz w:val="16"/>
                <w:b/>
              </w:rPr>
              <w:t>O</w:t>
            </w:r>
            <w:r>
              <w:rPr>
                <w:b/>
                <w:rFonts w:ascii="Times New Roman" w:hAnsi="Times New Roman"/>
                <w:sz w:val="16"/>
                <w:b/>
              </w:rPr>
              <w:t>-H5 R²</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rFonts w:ascii="Times New Roman" w:hAnsi="Times New Roman"/>
                <w:sz w:val="16"/>
              </w:rPr>
              <w:t>GUMNetHet đầy đủ</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4.669</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9.216</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0.923</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Wav-KAN→MLP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5.142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10.852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0.865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−GRU</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4.985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10.124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CNN chỉ k=3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4.892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9.854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0.904</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4.821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9.980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0.898</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lastRenderedPageBreak/>
              <w:t>Router đồng nhất</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5.012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10.450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0.879</w:t>
            </w:r>
          </w:p>
        </w:tc>
      </w:tr>
    </w:tbl>
    <w:p>
      <w:pPr>
        <w:pStyle w:val="BodyText"/>
        <w:spacing w:before="0" w:after="60" w:line="252" w:lineRule="auto"/>
        <w:jc w:val="both"/>
      </w:pPr>
      <w:r>
        <w:rPr>
          <w:rFonts w:ascii="Times New Roman" w:hAnsi="Times New Roman"/>
          <w:b w:val="0"/>
          <w:i w:val="0"/>
          <w:sz w:val="20"/>
        </w:rPr>
        <w:t xml:space="preserve">Kết quả thực nghiệm ghi nhận rằng loại bỏ residual scaling làm MAE tăng khoảng 8,5%/6,3% ở H20 và 14,1%/11,8% ở H60 cho xăng/dầu. Phân tích router trong </w:t>
      </w:r>
      <w:hyperlink w:anchor="fig_4" w:history="1">
        <w:r>
          <w:rPr>
            <w:rFonts w:ascii="Times New Roman" w:hAnsi="Times New Roman"/>
            <w:sz w:val="20"/>
            <w:color w:val="1A56DB"/>
          </w:rPr>
          <w:t>Hình 4</w:t>
        </w:r>
      </w:hyperlink>
      <w:r>
        <w:rPr>
          <w:rFonts w:ascii="Times New Roman" w:hAnsi="Times New Roman"/>
          <w:b w:val="0"/>
          <w:i w:val="0"/>
          <w:sz w:val="20"/>
        </w:rPr>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416835"/>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3154680" cy="2416835"/>
                    </a:xfrm>
                    <a:prstGeom prst="rect"/>
                  </pic:spPr>
                </pic:pic>
              </a:graphicData>
            </a:graphic>
          </wp:inline>
        </w:drawing>
      </w:r>
    </w:p>
    <w:p>
      <w:bookmarkStart w:id="4" w:name="fig_4"/>
      <w:pPr>
        <w:pStyle w:val="figurecaption"/>
        <w:keepNext/>
        <w:spacing w:before="80" w:after="60" w:line="252" w:lineRule="auto"/>
        <w:jc w:val="left"/>
      </w:pPr>
      <w:r>
        <w:rPr>
          <w:rFonts w:ascii="Times New Roman" w:hAnsi="Times New Roman"/>
          <w:b/>
          <w:sz w:val="17"/>
        </w:rPr>
        <w:t>Hình 4.</w:t>
      </w:r>
      <w:r>
        <w:rPr>
          <w:rFonts w:ascii="Times New Roman" w:hAnsi="Times New Roman"/>
          <w:b w:val="0"/>
          <w:sz w:val="17"/>
        </w:rPr>
        <w:t xml:space="preserve"> Trên: fan chart đa phân vị dưới biến động mạnh. Dưới: trọng số router trong chế độ GPR thấp và GPR cao.</w:t>
      </w:r>
      <w:bookmarkEnd w:id="4"/>
    </w:p>
    <w:p>
      <w:pPr>
        <w:pStyle w:val="Heading1"/>
        <w:keepNext/>
        <w:spacing w:before="160" w:after="60" w:line="252" w:lineRule="auto"/>
        <w:jc w:val="center"/>
        <w:outlineLvl w:val="0"/>
      </w:pPr>
      <w:r>
        <w:rPr>
          <w:rFonts w:ascii="Times New Roman" w:hAnsi="Times New Roman"/>
          <w:b/>
          <w:sz w:val="20"/>
        </w:rPr>
        <w:t>6. KẾT LUẬN</w:t>
      </w:r>
    </w:p>
    <w:p>
      <w:pPr>
        <w:pStyle w:val="BodyText"/>
        <w:spacing w:before="0" w:after="60" w:line="252" w:lineRule="auto"/>
        <w:jc w:val="both"/>
      </w:pPr>
      <w:r>
        <w:rPr>
          <w:rFonts w:ascii="Times New Roman" w:hAnsi="Times New Roman"/>
          <w:b w:val="0"/>
          <w:i w:val="0"/>
          <w:sz w:val="20"/>
        </w:rP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pPr>
        <w:pStyle w:val="BodyText"/>
        <w:spacing w:before="0" w:after="60" w:line="252" w:lineRule="auto"/>
        <w:jc w:val="both"/>
      </w:pPr>
      <w:r>
        <w:rPr>
          <w:rFonts w:ascii="Times New Roman" w:hAnsi="Times New Roman"/>
          <w:b w:val="0"/>
          <w:i w:val="0"/>
          <w:sz w:val="20"/>
        </w:rPr>
        <w:t xml:space="preserve">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w:t>
      </w:r>
      <m:oMath>
        <m:sSup>
          <m:e>
            <m:r>
              <m:t>R</m:t>
            </m:r>
          </m:e>
          <m:sup>
            <m:r>
              <m:t>2</m:t>
            </m:r>
          </m:sup>
        </m:sSup>
      </m:oMath>
      <w:r>
        <w:rPr>
          <w:rFonts w:ascii="Times New Roman" w:hAnsi="Times New Roman"/>
          <w:b w:val="0"/>
          <w:i w:val="0"/>
          <w:sz w:val="20"/>
        </w:rPr>
        <w:t xml:space="preserve">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pPr>
        <w:pStyle w:val="BodyText"/>
        <w:spacing w:before="0" w:after="60" w:line="252" w:lineRule="auto"/>
        <w:jc w:val="both"/>
      </w:pPr>
      <w:r>
        <w:rPr>
          <w:rFonts w:ascii="Times New Roman" w:hAnsi="Times New Roman"/>
          <w:b w:val="0"/>
          <w:i w:val="0"/>
          <w:sz w:val="20"/>
        </w:rPr>
        <w:t>Trong tương lai, nghiên cứu sẽ tập trung vào đánh giá multi-seed, bổ sung probabilistic baselines, kiểm định thống kê cho dự báo multi-step và tích hợp biểu diễn tin tức địa chính trị theo thời gian thực.</w:t>
      </w:r>
    </w:p>
    <w:p>
      <w:pPr>
        <w:pStyle w:val="Heading5"/>
        <w:keepNext/>
        <w:spacing w:before="160" w:after="80" w:line="252" w:lineRule="auto"/>
        <w:jc w:val="center"/>
      </w:pPr>
      <w:r>
        <w:rPr>
          <w:rFonts w:ascii="Times New Roman" w:hAnsi="Times New Roman"/>
          <w:b/>
          <w:sz w:val="20"/>
        </w:rPr>
        <w:t>TÀI LIỆU THAM KHẢO</w:t>
      </w:r>
    </w:p>
    <w:p>
      <w:bookmarkStart w:id="101" w:name="ref_1"/>
      <w:pPr>
        <w:pStyle w:val="references"/>
        <w:spacing w:before="0" w:after="40" w:line="252" w:lineRule="auto"/>
        <w:jc w:val="both"/>
      </w:pPr>
      <w:r>
        <w:rPr>
          <w:rFonts w:ascii="Times New Roman" w:hAnsi="Times New Roman"/>
          <w:sz w:val="16"/>
        </w:rPr>
        <w:t>[1] D. Caldara and M. Iacoviello, "Measuring geopolitical risk," American Economic Review, vol. 112, no. 4, pp. 1194–1225, 2022.</w:t>
      </w:r>
      <w:bookmarkEnd w:id="101"/>
    </w:p>
    <w:p>
      <w:bookmarkStart w:id="102" w:name="ref_2"/>
      <w:pPr>
        <w:pStyle w:val="references"/>
        <w:spacing w:before="0" w:after="40" w:line="252" w:lineRule="auto"/>
        <w:jc w:val="both"/>
      </w:pPr>
      <w:r>
        <w:rPr>
          <w:rFonts w:ascii="Times New Roman" w:hAnsi="Times New Roman"/>
          <w:sz w:val="16"/>
        </w:rPr>
        <w:t>[2] L. Kilian, "Not all oil price shocks are alike: Disentangling demand and supply shocks in the crude oil market," American Economic Review, vol. 99, no. 3, pp. 1053–1069, 2009.</w:t>
      </w:r>
      <w:bookmarkEnd w:id="102"/>
    </w:p>
    <w:p>
      <w:bookmarkStart w:id="103" w:name="ref_3"/>
      <w:pPr>
        <w:pStyle w:val="references"/>
        <w:spacing w:before="0" w:after="40" w:line="252" w:lineRule="auto"/>
        <w:jc w:val="both"/>
      </w:pPr>
      <w:r>
        <w:rPr>
          <w:rFonts w:ascii="Times New Roman" w:hAnsi="Times New Roman"/>
          <w:sz w:val="16"/>
        </w:rPr>
        <w:t>[3] C. Baumeister and L. Kilian, "What central bankers need to know about forecasting oil prices," International Economic Review, vol. 57, no. 3, pp. 869–896, 2016.</w:t>
      </w:r>
      <w:bookmarkEnd w:id="103"/>
    </w:p>
    <w:p>
      <w:bookmarkStart w:id="104" w:name="ref_4"/>
      <w:pPr>
        <w:pStyle w:val="references"/>
        <w:spacing w:before="0" w:after="40" w:line="252" w:lineRule="auto"/>
        <w:jc w:val="both"/>
      </w:pPr>
      <w:r>
        <w:rPr>
          <w:rFonts w:ascii="Times New Roman" w:hAnsi="Times New Roman"/>
          <w:sz w:val="16"/>
        </w:rPr>
        <w:t>[4] D. A. Dickey and W. A. Fuller, "Distribution of the estimators for autoregressive time series with a unit root," Journal of the American Statistical Association, vol. 74, no. 366a, pp. 427–431, 1979.</w:t>
      </w:r>
      <w:bookmarkEnd w:id="104"/>
    </w:p>
    <w:p>
      <w:bookmarkStart w:id="105" w:name="ref_5"/>
      <w:pPr>
        <w:pStyle w:val="references"/>
        <w:spacing w:before="0" w:after="40" w:line="252" w:lineRule="auto"/>
        <w:jc w:val="both"/>
      </w:pPr>
      <w:r>
        <w:rPr>
          <w:rFonts w:ascii="Times New Roman" w:hAnsi="Times New Roman"/>
          <w:sz w:val="16"/>
        </w:rPr>
        <w:t>[5] F. X. Diebold and R. S. Mariano, "Comparing predictive accuracy," Journal of Business &amp; Economic Statistics, vol. 13, no. 3, pp. 253–263, 1995.</w:t>
      </w:r>
      <w:bookmarkEnd w:id="105"/>
    </w:p>
    <w:p>
      <w:bookmarkStart w:id="106" w:name="ref_6"/>
      <w:pPr>
        <w:pStyle w:val="references"/>
        <w:spacing w:before="0" w:after="40" w:line="252" w:lineRule="auto"/>
        <w:jc w:val="both"/>
      </w:pPr>
      <w:r>
        <w:rPr>
          <w:rFonts w:ascii="Times New Roman" w:hAnsi="Times New Roman"/>
          <w:sz w:val="16"/>
        </w:rPr>
        <w:t>[6] T. Gneiting and A. E. Raftery, "Strictly proper scoring rules, prediction, and estimation," Journal of the American Statistical Association, vol. 102, no. 477, pp. 359–378, 2007.</w:t>
      </w:r>
      <w:bookmarkEnd w:id="106"/>
    </w:p>
    <w:p>
      <w:bookmarkStart w:id="107" w:name="ref_7"/>
      <w:pPr>
        <w:pStyle w:val="references"/>
        <w:spacing w:before="0" w:after="40" w:line="252" w:lineRule="auto"/>
        <w:jc w:val="both"/>
      </w:pPr>
      <w:r>
        <w:rPr>
          <w:rFonts w:ascii="Times New Roman" w:hAnsi="Times New Roman"/>
          <w:sz w:val="16"/>
        </w:rPr>
        <w:t>[7] R. J. Hyndman and A. B. Koehler, "Another look at measures of forecast accuracy," International Journal of Forecasting, vol. 22, no. 4, pp. 679–688, 2006.</w:t>
      </w:r>
      <w:bookmarkEnd w:id="107"/>
    </w:p>
    <w:p>
      <w:bookmarkStart w:id="108" w:name="ref_8"/>
      <w:pPr>
        <w:pStyle w:val="references"/>
        <w:spacing w:before="0" w:after="40" w:line="252" w:lineRule="auto"/>
        <w:jc w:val="both"/>
      </w:pPr>
      <w:r>
        <w:rPr>
          <w:rFonts w:ascii="Times New Roman" w:hAnsi="Times New Roman"/>
          <w:sz w:val="16"/>
        </w:rPr>
        <w:t>[8] Y. Nie, N. H. Nguyen, P. Sinthong, and J. Kalagnanam, "A time series is worth 64 words: Long-term forecasting with transformers," in Proc. ICLR, 2023.</w:t>
      </w:r>
      <w:bookmarkEnd w:id="108"/>
    </w:p>
    <w:p>
      <w:bookmarkStart w:id="109" w:name="ref_9"/>
      <w:pPr>
        <w:pStyle w:val="references"/>
        <w:spacing w:before="0" w:after="40" w:line="252" w:lineRule="auto"/>
        <w:jc w:val="both"/>
      </w:pPr>
      <w:r>
        <w:rPr>
          <w:rFonts w:ascii="Times New Roman" w:hAnsi="Times New Roman"/>
          <w:sz w:val="16"/>
        </w:rPr>
        <w:t>[9] Y. Liu, T. Hu, H. Zhang, H. Wu, S. Wang, L. Ma, and M. Long, "iTransformer: Inverted transformers are effective for time series forecasting," in Proc. ICLR, 2024.</w:t>
      </w:r>
      <w:bookmarkEnd w:id="109"/>
    </w:p>
    <w:p>
      <w:bookmarkStart w:id="110" w:name="ref_10"/>
      <w:pPr>
        <w:pStyle w:val="references"/>
        <w:spacing w:before="0" w:after="40" w:line="252" w:lineRule="auto"/>
        <w:jc w:val="both"/>
      </w:pPr>
      <w:r>
        <w:rPr>
          <w:rFonts w:ascii="Times New Roman" w:hAnsi="Times New Roman"/>
          <w:sz w:val="16"/>
        </w:rPr>
        <w:t>[10] H. Wu, T. Hu, Y. Liu, H. Zhou, J. Wang, and M. Long, "TimesNet: Temporal 2D-variation modeling for general time series analysis," in Proc. ICLR, 2023.</w:t>
      </w:r>
      <w:bookmarkEnd w:id="110"/>
    </w:p>
    <w:p>
      <w:bookmarkStart w:id="111" w:name="ref_11"/>
      <w:pPr>
        <w:pStyle w:val="references"/>
        <w:spacing w:before="0" w:after="40" w:line="252" w:lineRule="auto"/>
        <w:jc w:val="both"/>
      </w:pPr>
      <w:r>
        <w:rPr>
          <w:rFonts w:ascii="Times New Roman" w:hAnsi="Times New Roman"/>
          <w:sz w:val="16"/>
        </w:rPr>
        <w:t>[11] A. Zeng, M. Chen, L. Zhang, and Q. Xu, "Are transformers effective for time series forecasting?" in Proc. AAAI, vol. 37, no. 9, 2023, pp. 11121–11128.</w:t>
      </w:r>
      <w:bookmarkEnd w:id="111"/>
    </w:p>
    <w:p>
      <w:bookmarkStart w:id="112" w:name="ref_12"/>
      <w:pPr>
        <w:pStyle w:val="references"/>
        <w:spacing w:before="0" w:after="40" w:line="252" w:lineRule="auto"/>
        <w:jc w:val="both"/>
      </w:pPr>
      <w:r>
        <w:rPr>
          <w:rFonts w:ascii="Times New Roman" w:hAnsi="Times New Roman"/>
          <w:sz w:val="16"/>
        </w:rPr>
        <w:t>[12] B. Lim, S. Ö. Arık, N. Loeff, and T. Pfister, "Temporal Fusion Transformers for interpretable multi-horizon time series forecasting," International Journal of Forecasting, vol. 37, no. 4, pp. 1748–1764, 2021.</w:t>
      </w:r>
      <w:bookmarkEnd w:id="112"/>
    </w:p>
    <w:p>
      <w:bookmarkStart w:id="113" w:name="ref_13"/>
      <w:pPr>
        <w:pStyle w:val="references"/>
        <w:spacing w:before="0" w:after="40" w:line="252" w:lineRule="auto"/>
        <w:jc w:val="both"/>
      </w:pPr>
      <w:r>
        <w:rPr>
          <w:rFonts w:ascii="Times New Roman" w:hAnsi="Times New Roman"/>
          <w:sz w:val="16"/>
        </w:rPr>
        <w:t>[13] B. N. Oreshkin, D. Carpov, N. Chapados, and Y. Bengio, "N-BEATS: Neural basis expansion analysis for interpretable time series forecasting," in Proc. ICLR, 2020.</w:t>
      </w:r>
      <w:bookmarkEnd w:id="113"/>
    </w:p>
    <w:p>
      <w:bookmarkStart w:id="114" w:name="ref_14"/>
      <w:pPr>
        <w:pStyle w:val="references"/>
        <w:spacing w:before="0" w:after="40" w:line="252" w:lineRule="auto"/>
        <w:jc w:val="both"/>
      </w:pPr>
      <w:r>
        <w:rPr>
          <w:rFonts w:ascii="Times New Roman" w:hAnsi="Times New Roman"/>
          <w:sz w:val="16"/>
        </w:rPr>
        <w:t>[14] C. Challu, K. G. Olivares, B. N. Oreshkin, F. Garza, M. Mergenthaler-Canseco, and A. Dubrawski, "N-HiTS: Neural hierarchical interpolation for time series forecasting," in Proc. AAAI, vol. 37, no. 6, 2023, pp. 6989–6997.</w:t>
      </w:r>
      <w:bookmarkEnd w:id="114"/>
    </w:p>
    <w:p>
      <w:bookmarkStart w:id="115" w:name="ref_15"/>
      <w:pPr>
        <w:pStyle w:val="references"/>
        <w:spacing w:before="0" w:after="40" w:line="252" w:lineRule="auto"/>
        <w:jc w:val="both"/>
      </w:pPr>
      <w:r>
        <w:rPr>
          <w:rFonts w:ascii="Times New Roman" w:hAnsi="Times New Roman"/>
          <w:sz w:val="16"/>
        </w:rPr>
        <w:t>[15] A. Gu and T. Dao, "Mamba: Linear-time sequence modeling with selective state spaces," arXiv preprint arXiv:2312.00752, 2023.</w:t>
      </w:r>
      <w:bookmarkEnd w:id="115"/>
    </w:p>
    <w:p>
      <w:bookmarkStart w:id="116" w:name="ref_16"/>
      <w:pPr>
        <w:pStyle w:val="references"/>
        <w:spacing w:before="0" w:after="40" w:line="252" w:lineRule="auto"/>
        <w:jc w:val="both"/>
      </w:pPr>
      <w:r>
        <w:rPr>
          <w:rFonts w:ascii="Times New Roman" w:hAnsi="Times New Roman"/>
          <w:sz w:val="16"/>
        </w:rPr>
        <w:t>[16] A. F. Ansari et al., "Chronos: Learning the language of time series," Transactions on Machine Learning Research, 2024.</w:t>
      </w:r>
      <w:bookmarkEnd w:id="116"/>
    </w:p>
    <w:p>
      <w:bookmarkStart w:id="117" w:name="ref_17"/>
      <w:pPr>
        <w:pStyle w:val="references"/>
        <w:spacing w:before="0" w:after="40" w:line="252" w:lineRule="auto"/>
        <w:jc w:val="both"/>
      </w:pPr>
      <w:r>
        <w:rPr>
          <w:rFonts w:ascii="Times New Roman" w:hAnsi="Times New Roman"/>
          <w:sz w:val="16"/>
        </w:rPr>
        <w:t>[17] A. Das, W. Kong, R. Sen, and Y. Zhou, "A decoder-only foundation model for time-series forecasting," in Proc. ICML, 2024.</w:t>
      </w:r>
      <w:bookmarkEnd w:id="117"/>
    </w:p>
    <w:p>
      <w:bookmarkStart w:id="118" w:name="ref_18"/>
      <w:pPr>
        <w:pStyle w:val="references"/>
        <w:spacing w:before="0" w:after="40" w:line="252" w:lineRule="auto"/>
        <w:jc w:val="both"/>
      </w:pPr>
      <w:r>
        <w:rPr>
          <w:rFonts w:ascii="Times New Roman" w:hAnsi="Times New Roman"/>
          <w:sz w:val="16"/>
        </w:rPr>
        <w:t>[18] G. Woo, C. Liu, A. Kumar, C. Xiong, S. Savarese, and D. Sahoo, "Unified training of universal time series forecasting transformers," in Proc. ICML, 2024.</w:t>
      </w:r>
      <w:bookmarkEnd w:id="118"/>
    </w:p>
    <w:p>
      <w:bookmarkStart w:id="119" w:name="ref_19"/>
      <w:pPr>
        <w:pStyle w:val="references"/>
        <w:spacing w:before="0" w:after="40" w:line="252" w:lineRule="auto"/>
        <w:jc w:val="both"/>
      </w:pPr>
      <w:r>
        <w:rPr>
          <w:rFonts w:ascii="Times New Roman" w:hAnsi="Times New Roman"/>
          <w:sz w:val="16"/>
        </w:rPr>
        <w:t>[19] V. Ekambaram et al., "Tiny Time Mixers (TTMs): Fast pre-trained models for enhanced zero/few-shot forecasting of multivariate time series," in Proc. NeurIPS, 2024.</w:t>
      </w:r>
      <w:bookmarkEnd w:id="119"/>
    </w:p>
    <w:p>
      <w:bookmarkStart w:id="120" w:name="ref_20"/>
      <w:pPr>
        <w:pStyle w:val="references"/>
        <w:spacing w:before="0" w:after="40" w:line="252" w:lineRule="auto"/>
        <w:jc w:val="both"/>
      </w:pPr>
      <w:r>
        <w:rPr>
          <w:rFonts w:ascii="Times New Roman" w:hAnsi="Times New Roman"/>
          <w:sz w:val="16"/>
        </w:rPr>
        <w:t>[20] R. A. Jacobs, M. I. Jordan, S. J. Nowlan, and G. E. Hinton, "Adaptive mixtures of local experts," Neural Computation, vol. 3, no. 1, pp. 79–87, 1991.</w:t>
      </w:r>
      <w:bookmarkEnd w:id="120"/>
    </w:p>
    <w:p>
      <w:bookmarkStart w:id="121" w:name="ref_21"/>
      <w:pPr>
        <w:pStyle w:val="references"/>
        <w:spacing w:before="0" w:after="40" w:line="252" w:lineRule="auto"/>
        <w:jc w:val="both"/>
      </w:pPr>
      <w:r>
        <w:rPr>
          <w:rFonts w:ascii="Times New Roman" w:hAnsi="Times New Roman"/>
          <w:sz w:val="16"/>
        </w:rPr>
        <w:t>[21] N. Shazeer et al., "Outrageously large neural networks: The sparsely-gated mixture-of-experts layer," in Proc. ICLR, 2017.</w:t>
      </w:r>
      <w:bookmarkEnd w:id="121"/>
    </w:p>
    <w:p>
      <w:bookmarkStart w:id="122" w:name="ref_22"/>
      <w:pPr>
        <w:pStyle w:val="references"/>
        <w:spacing w:before="0" w:after="40" w:line="252" w:lineRule="auto"/>
        <w:jc w:val="both"/>
      </w:pPr>
      <w:r>
        <w:rPr>
          <w:rFonts w:ascii="Times New Roman" w:hAnsi="Times New Roman"/>
          <w:sz w:val="16"/>
        </w:rPr>
        <w:t>[22] W. Fedus, B. Zoph, and N. Shazeer, "Switch Transformers: Scaling to trillion parameter models with simple and efficient sparsity," Journal of Machine Learning Research, vol. 23, no. 120, pp. 1–39, 2022.</w:t>
      </w:r>
      <w:bookmarkEnd w:id="122"/>
    </w:p>
    <w:p>
      <w:bookmarkStart w:id="123" w:name="ref_23"/>
      <w:pPr>
        <w:pStyle w:val="references"/>
        <w:spacing w:before="0" w:after="40" w:line="252" w:lineRule="auto"/>
        <w:jc w:val="both"/>
      </w:pPr>
      <w:r>
        <w:rPr>
          <w:rFonts w:ascii="Times New Roman" w:hAnsi="Times New Roman"/>
          <w:sz w:val="16"/>
        </w:rPr>
        <w:t>[23] Z. Liu et al., "KAN: Kolmogorov–Arnold Networks," arXiv preprint arXiv:2404.19756, 2024.</w:t>
      </w:r>
      <w:bookmarkEnd w:id="123"/>
    </w:p>
    <w:p>
      <w:bookmarkStart w:id="124" w:name="ref_24"/>
      <w:pPr>
        <w:pStyle w:val="references"/>
        <w:spacing w:before="0" w:after="40" w:line="252" w:lineRule="auto"/>
        <w:jc w:val="both"/>
      </w:pPr>
      <w:r>
        <w:rPr>
          <w:rFonts w:ascii="Times New Roman" w:hAnsi="Times New Roman"/>
          <w:sz w:val="16"/>
        </w:rPr>
        <w:t>[24] Z. Bozorgasl and H. Chen, "Wav-KAN: Wavelet Kolmogorov–Arnold networks," arXiv preprint arXiv:2405.12832, 2024.</w:t>
      </w:r>
      <w:bookmarkEnd w:id="124"/>
    </w:p>
    <w:p>
      <w:bookmarkStart w:id="125" w:name="ref_25"/>
      <w:pPr>
        <w:pStyle w:val="references"/>
        <w:spacing w:before="0" w:after="40" w:line="252" w:lineRule="auto"/>
        <w:jc w:val="both"/>
      </w:pPr>
      <w:r>
        <w:rPr>
          <w:rFonts w:ascii="Times New Roman" w:hAnsi="Times New Roman"/>
          <w:sz w:val="16"/>
        </w:rPr>
        <w:t>[25] I. Daubechies, Ten Lectures on Wavelets. Philadelphia, PA, USA: SIAM, 1992.</w:t>
      </w:r>
      <w:bookmarkEnd w:id="125"/>
    </w:p>
    <w:p>
      <w:bookmarkStart w:id="126" w:name="ref_26"/>
      <w:pPr>
        <w:pStyle w:val="references"/>
        <w:spacing w:before="0" w:after="40" w:line="252" w:lineRule="auto"/>
        <w:jc w:val="both"/>
      </w:pPr>
      <w:r>
        <w:rPr>
          <w:rFonts w:ascii="Times New Roman" w:hAnsi="Times New Roman"/>
          <w:sz w:val="16"/>
        </w:rPr>
        <w:t>[26] X. Shi et al., "Time-MoE: Billion-scale time series foundation models with mixture of experts," in Proc. ICLR, 2025.</w:t>
      </w:r>
      <w:bookmarkEnd w:id="126"/>
    </w:p>
    <w:p>
      <w:bookmarkStart w:id="127" w:name="ref_27"/>
      <w:pPr>
        <w:pStyle w:val="references"/>
        <w:spacing w:before="0" w:after="40" w:line="252" w:lineRule="auto"/>
        <w:jc w:val="both"/>
      </w:pPr>
      <w:r>
        <w:rPr>
          <w:rFonts w:ascii="Times New Roman" w:hAnsi="Times New Roman"/>
          <w:sz w:val="16"/>
        </w:rPr>
        <w:t>[27] S. Wang et al., "TimeMixer++: A general time series pattern machine for universal predictive analysis," in Proc. ICLR, 2025.</w:t>
      </w:r>
      <w:bookmarkEnd w:id="127"/>
    </w:p>
    <w:p>
      <w:bookmarkStart w:id="128" w:name="ref_28"/>
      <w:pPr>
        <w:pStyle w:val="references"/>
        <w:spacing w:before="0" w:after="40" w:line="252" w:lineRule="auto"/>
        <w:jc w:val="both"/>
      </w:pPr>
      <w:r>
        <w:rPr>
          <w:rFonts w:ascii="Times New Roman" w:hAnsi="Times New Roman"/>
          <w:sz w:val="16"/>
        </w:rPr>
        <w:t>[28] M. D. Wilkinson et al., "The FAIR Guiding Principles for scientific data management and stewardship," Scientific Data, vol. 3, art. 160018, 2016.</w:t>
      </w:r>
      <w:bookmarkEnd w:id="128"/>
    </w:p>
    <w:sectPr>
      <w:pgSz w:w="11906" w:h="16838"/>
      <w:pgMar w:top="720" w:right="720" w:bottom="1080" w:left="720" w:header="720" w:footer="720"/>
      <w:cols w:num="2" w:space="360"/>
      <w:type w:val="continuous"/>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