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rFonts w:ascii="Times New Roman" w:hAnsi="Times New Roman" w:eastAsia="Times New Roman"/>
        </w:rPr>
        <w:t>GUMNetHet: Dự báo xác suất đa chu kỳ giá xăng dầu thành phẩm dưới cú sốc địa chính trị bằng mạng kết hợp chuyên gia không đồng nhất</w:t>
      </w:r>
    </w:p>
    <w:p>
      <w:pPr>
        <w:pStyle w:val="Authors"/>
      </w:pPr>
      <w:r>
        <w:rPr>
          <w:rFonts w:ascii="Times New Roman" w:hAnsi="Times New Roman" w:eastAsia="Times New Roman"/>
        </w:rPr>
        <w:t>Nguyễn Phước Anh Dũng¹, Bùi Danh Hường¹*, Hoàng Văn Quý²</w:t>
      </w:r>
    </w:p>
    <w:p>
      <w:pPr>
        <w:pStyle w:val="Affil"/>
      </w:pPr>
      <w:r>
        <w:rPr>
          <w:rFonts w:ascii="Times New Roman" w:hAnsi="Times New Roman" w:eastAsia="Times New Roman"/>
        </w:rPr>
        <w:t>¹Khoa Công nghệ Thông tin, Trường Đại học Công nghệ TP.HCM (HUTECH), TP.HCM, Việt Nam</w:t>
      </w:r>
    </w:p>
    <w:p>
      <w:pPr>
        <w:pStyle w:val="Affil"/>
      </w:pPr>
      <w:r>
        <w:rPr>
          <w:rFonts w:ascii="Times New Roman" w:hAnsi="Times New Roman" w:eastAsia="Times New Roman"/>
        </w:rPr>
        <w:t>²Khoa Công nghệ Thông tin, Trường Đại học Thủy lợi (TLU), Hà Nội, Việt Nam</w:t>
      </w:r>
    </w:p>
    <w:p>
      <w:pPr>
        <w:pStyle w:val="Affil"/>
      </w:pPr>
      <w:r>
        <w:rPr>
          <w:rFonts w:ascii="Times New Roman" w:hAnsi="Times New Roman" w:eastAsia="Times New Roman"/>
        </w:rPr>
        <w:t>*Tác giả liên hệ: bd.huong@hutech.edu.vn</w:t>
      </w:r>
    </w:p>
    <w:p>
      <w:pPr>
        <w:pStyle w:val="Abstract"/>
      </w:pPr>
      <w:r>
        <w:rPr>
          <w:rFonts w:ascii="Times New Roman" w:hAnsi="Times New Roman" w:eastAsia="Times New Roman"/>
          <w:sz w:val="18"/>
        </w:rPr>
        <w:t>Tóm tắt—Dự báo giá xăng dầu thành phẩm trở nên khó khăn khi chuỗi giá chịu đồng thời biến động ngắn hạn, dịch chuyển chế độ vĩ mô và các cú sốc địa chính trị có tính phi tuyến, đuôi dày. Bài báo đề xuất GUMNetHet (Heterogeneous Gated Unified Mixture Network), một mạng kết hợp chuyên gia không đồng nhất cho dự báo xác suất đa chu kỳ. Mô hình phân vùng đặc trưng thành ba nhóm và giao cho ba chuyên gia chuyên biệt: CNN-1D đa tỷ lệ cho động lượng giá, GRU-Attention cho chế độ vĩ mô, và Wavelet-KAN cho quan hệ phi tuyến nhạy cú sốc. Bộ định tuyến nhận biết horizon kết hợp biểu diễn chuyên gia, nhúng horizon và thống kê ngữ cảnh để phân bổ trọng số động; đầu ra đa phân vị q={0.1,0.5,0.9} được tối ưu bằng pinball loss và điều chuẩn cân bằng tải. Trên dữ liệu đa nguồn 11/2008–04/2026 (N=4.512 quan sát) với expanding walk-forward, GUMNetHet đạt MAE thấp nhất trong nhóm baseline được báo cáo ở cả bảy horizon H1–H60 cho MG95 và DO 0.001%. Tại H60, MAE giảm 30,1% cho xăng và 22,9% cho dầu so với baseline tốt nhất tương ứng. Directional accuracy đạt 90,95–95,56% ở H1–H7 của xăng và 76,65–84,92% ở H1–H7 của dầu, nhưng giảm mạnh tại H10/H60, cho thấy cần phân biệt giữa độ chính xác mức giá và độ chính xác hướng ở horizon dài. Khoảng phân vị 80% đạt PICP=82,4% với PINAW=0,142. Với 0,34M tham số và độ trễ 1,42 ms/mẫu, GUMNetHet cho thấy sự cân bằng tốt giữa độ chính xác, bất định và chi phí tính toán.</w:t>
      </w:r>
    </w:p>
    <w:p>
      <w:pPr>
        <w:pStyle w:val="Abstract"/>
      </w:pPr>
      <w:r>
        <w:rPr>
          <w:rFonts w:ascii="Times New Roman" w:hAnsi="Times New Roman" w:eastAsia="Times New Roman"/>
          <w:sz w:val="18"/>
        </w:rPr>
        <w:t>Từ khóa—dự báo giá năng lượng; mixture-of-experts; Wavelet-KAN; rủi ro địa chính trị; dự báo đa phân vị; walk-forward validation.</w:t>
      </w:r>
    </w:p>
    <w:p>
      <w:pPr>
        <w:pStyle w:val="H1x"/>
        <w:keepNext/>
      </w:pPr>
      <w:r>
        <w:rPr>
          <w:rFonts w:ascii="Times New Roman" w:hAnsi="Times New Roman" w:eastAsia="Times New Roman"/>
        </w:rPr>
        <w:t>1. GIỚI THIỆU</w:t>
      </w:r>
    </w:p>
    <w:p>
      <w:pPr/>
      <w:r>
        <w:rPr>
          <w:rFonts w:ascii="Times New Roman" w:hAnsi="Times New Roman" w:eastAsia="Times New Roman"/>
          <w:sz w:val="19"/>
        </w:rPr>
        <w:t>Giá dầu và các sản phẩm lọc hóa dầu phản ứng đồng thời với cú sốc cung–cầu, biến động tỷ giá và rủi ro địa chính trị. Các giai đoạn sụp đổ giá dầu 2014–2016, chiến tranh giá OPEC+ năm 2020, xung đột Nga–Ukraine 2022 và căng thẳng Biển Đỏ 2023–2024 cho thấy chuỗi giá thành phẩm có thể xuất hiện bước nhảy, dịch chuyển chế độ và phân cụm biến động. Trong bối cảnh đó, một dự báo điểm duy nhất thường không đủ cho quản trị tồn kho, hedging hay đánh giá rủi ro; mô hình cần vừa ổn định sai số qua nhiều horizon vừa cung cấp biên bất định có thể diễn giải.</w:t>
      </w:r>
    </w:p>
    <w:p>
      <w:pPr/>
      <w:r>
        <w:rPr>
          <w:rFonts w:ascii="Times New Roman" w:hAnsi="Times New Roman" w:eastAsia="Times New Roman"/>
          <w:sz w:val="19"/>
        </w:rPr>
        <w:t>Các kiến trúc chuỗi thời gian hiện đại như PatchTST [8], iTransformer [9], TimesNet [10], DLinear [11], Mamba [15] và Chronos [16] đã cải thiện đáng kể hiệu năng trên benchmark tổng quát, nhưng phần lớn xử lý các biến đầu vào trong một không gian biểu diễn tương đối đồng nhất. Với dữ liệu năng lượng, ba lớp tín hiệu có bản chất khác nhau—động lượng giá tần số cao, trạng thái vĩ mô chậm và phản ứng phi tuyến hiếm nhưng biên độ lớn—có thể cần inductive bias khác nhau. Các MoE chuẩn [20]–[22] cũng thường đưa cùng tập đặc trưng tới mọi expert, làm giảm mức chuyên môn hóa.</w:t>
      </w:r>
    </w:p>
    <w:p>
      <w:pPr/>
      <w:r>
        <w:rPr>
          <w:rFonts w:ascii="Times New Roman" w:hAnsi="Times New Roman" w:eastAsia="Times New Roman"/>
          <w:sz w:val="19"/>
        </w:rPr>
        <w:t>GUMNetHet giải quyết điểm này bằng feature partitioning: nhóm giá/benchmark được xử lý bởi CNN đa tỷ lệ; nhóm vĩ mô và GPR bởi GRU-Attention; nhóm crack-spread và volatility bởi Wavelet-KAN. Ba biểu diễn được hợp nhất bởi router phụ thuộc horizon và ngữ cảnh thị trường. Đóng góp của bài báo gồm: (i) MoE dị thể với phân vùng đặc trưng theo vai trò kinh tế và tần số; (ii) horizon-aware routing; (iii) multi-quantile head kết hợp residual scaling để ổn định ngoại suy; và (iv) đánh giá expanding walk-forward với bảng kết quả đầy đủ MAE, RMSE, MAPE, R² và DA cho các baseline đại diện.</w:t>
      </w:r>
    </w:p>
    <w:p>
      <w:pPr>
        <w:pStyle w:val="H1x"/>
        <w:keepNext/>
      </w:pPr>
      <w:r>
        <w:rPr>
          <w:rFonts w:ascii="Times New Roman" w:hAnsi="Times New Roman" w:eastAsia="Times New Roman"/>
        </w:rPr>
        <w:t>2. NGHIÊN CỨU LIÊN QUAN</w:t>
      </w:r>
    </w:p>
    <w:p>
      <w:pPr/>
      <w:r>
        <w:rPr>
          <w:rFonts w:ascii="Times New Roman" w:hAnsi="Times New Roman" w:eastAsia="Times New Roman"/>
          <w:sz w:val="19"/>
        </w:rPr>
        <w:t>Kilian [2] và Baumeister &amp; Kilian [3] đặt nền tảng cho việc phân tách cú sốc cung–cầu trong thị trường dầu, trong khi chỉ số GPR của Caldara &amp; Iacoviello [1] cung cấp thước đo định lượng cho rủi ro địa chính trị. Ở phía mô hình, PatchTST [8], iTransformer [9] và TimesNet [10] đại diện cho các thiết kế Transformer/biến thiên thời gian hiện đại; DLinear [11] cho thấy mô hình tuyến tính có phân rã vẫn là baseline mạnh. TFT [12], N-BEATS [13] và N-HiTS [14] mở rộng dự báo đa horizon; Mamba [15] đưa state-space chọn lọc vào sequence modeling; Chronos [16], TimesFM [17], MOIRAI [18] và TTM [19] mở rộng sang foundation time-series models.</w:t>
      </w:r>
    </w:p>
    <w:p>
      <w:pPr/>
      <w:r>
        <w:rPr>
          <w:rFonts w:ascii="Times New Roman" w:hAnsi="Times New Roman" w:eastAsia="Times New Roman"/>
          <w:sz w:val="19"/>
        </w:rPr>
        <w:t>Về MoE, Jacobs et al. [20] giới thiệu adaptive mixtures of local experts; Shazeer et al. [21] và Switch Transformer [22] phát triển sparse gating ở quy mô lớn. KAN [23] và Wav-KAN [24] thay thế activation cố định bằng hàm cơ sở có thể học, trong đó wavelet phù hợp với tín hiệu cục bộ đa độ phân giải [25]. Time-MoE [26] và TimeMixer++ [27] tiếp tục cho thấy giá trị của expert routing trong chuỗi thời gian. Khác với các thiết kế expert đồng nhất, GUMNetHet gán các loại kiến trúc khác nhau cho các nhóm biến khác nhau và điều kiện hóa router trên horizon.</w:t>
      </w:r>
    </w:p>
    <w:p>
      <w:pPr>
        <w:pStyle w:val="H1x"/>
        <w:keepNext/>
      </w:pPr>
      <w:r>
        <w:rPr>
          <w:rFonts w:ascii="Times New Roman" w:hAnsi="Times New Roman" w:eastAsia="Times New Roman"/>
        </w:rPr>
        <w:t>3. PHƯƠNG PHÁP GUMNetHet</w:t>
      </w:r>
    </w:p>
    <w:p>
      <w:pPr>
        <w:pStyle w:val="H2x"/>
        <w:keepNext/>
      </w:pPr>
      <w:r>
        <w:rPr>
          <w:rFonts w:ascii="Times New Roman" w:hAnsi="Times New Roman" w:eastAsia="Times New Roman"/>
        </w:rPr>
        <w:t>3.1. Bài toán và phân vùng đặc trưng</w:t>
      </w:r>
    </w:p>
    <w:p>
      <w:pPr/>
      <w:r>
        <w:rPr>
          <w:rFonts w:ascii="Times New Roman" w:hAnsi="Times New Roman" w:eastAsia="Times New Roman"/>
          <w:sz w:val="19"/>
        </w:rPr>
        <w:t>Với giá mục tiêu P_{t,c} của sản phẩm c∈{MG95, DO 0.001%}, lookback L=30 và horizon h∈{1,3,5,7,10,20,60}, mục tiêu học là lợi suất log tích lũy r_{t+h,c}=ln(P_{t+h,c})−ln(P_{t,c}). Dự báo mức giá được khôi phục bởi P̂_{t+h,c}=P_{t,c}·exp(r̂_{t+h,c}). Đầu vào được chia thành X_price (Platts liên sản phẩm, WTI, Brent), X_macro (DXY, GPR, sản lượng và biến làm mịn), và X_shock (crack-spread, realized volatility, biến lịch).</w:t>
      </w:r>
    </w:p>
    <w:p>
      <w:pPr>
        <w:pStyle w:val="H2x"/>
        <w:keepNext/>
      </w:pPr>
      <w:r>
        <w:rPr>
          <w:rFonts w:ascii="Times New Roman" w:hAnsi="Times New Roman" w:eastAsia="Times New Roman"/>
        </w:rPr>
        <w:t>3.2. Ba expert và router nhận biết horizon</w:t>
      </w:r>
    </w:p>
    <w:p>
      <w:pPr/>
      <w:r>
        <w:rPr>
          <w:rFonts w:ascii="Times New Roman" w:hAnsi="Times New Roman" w:eastAsia="Times New Roman"/>
          <w:sz w:val="19"/>
        </w:rPr>
        <w:t>Expert giá dùng ba nhánh Conv1D với kernel k∈{3,7,15} và attention pooling; expert vĩ mô dùng GRU hai lớp với dropout 0,1; expert shock-sensitive dùng Wav-KAN với hàm cơ sở Mexican Hat. Router nhận [f_CNN || f_GRU || f_KAN || Emb(h) || x_ctx] và sinh w_h=Softmax(MLP(·)); biểu diễn hợp nhất là f_fused=Σ_i w_{h,i}f_i. x_ctx gồm thống kê mức và biến động gần nhất, nhờ đó trọng số expert thay đổi theo cả horizon lẫn chế độ thị trường.</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372000" cy="416938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72000" cy="4169382"/>
                    </a:xfrm>
                    <a:prstGeom prst="rect"/>
                  </pic:spPr>
                </pic:pic>
              </a:graphicData>
            </a:graphic>
          </wp:inline>
        </w:drawing>
      </w:r>
    </w:p>
    <w:p>
      <w:pPr>
        <w:pStyle w:val="Caption"/>
      </w:pPr>
      <w:r>
        <w:rPr>
          <w:rFonts w:ascii="Times New Roman" w:hAnsi="Times New Roman" w:eastAsia="Times New Roman"/>
          <w:sz w:val="15"/>
        </w:rPr>
        <w:t>Hình 1. Kiến trúc GUMNetHet: phân vùng đặc trưng, ba expert dị thể, horizon-aware router và multi-quantile head.</w:t>
      </w:r>
    </w:p>
    <w:p>
      <w:pPr>
        <w:pStyle w:val="H2x"/>
        <w:keepNext/>
      </w:pPr>
      <w:r>
        <w:rPr>
          <w:rFonts w:ascii="Times New Roman" w:hAnsi="Times New Roman" w:eastAsia="Times New Roman"/>
        </w:rPr>
        <w:t>3.3. Đầu ra đa phân vị và hàm mục tiêu</w:t>
      </w:r>
    </w:p>
    <w:p>
      <w:pPr/>
      <w:r>
        <w:rPr>
          <w:rFonts w:ascii="Times New Roman" w:hAnsi="Times New Roman" w:eastAsia="Times New Roman"/>
          <w:sz w:val="19"/>
        </w:rPr>
        <w:t>Head sinh ba phân vị q∈{0.1,0.5,0.9}. Residual scaling học hệ số neo γ_h∈(0,1) để giới hạn độ trôi ở horizon dài, với dạng r̂^{(q)}_{t+h}=Head_q(f_fused)+γ_h·x^{target}_t. Hàm mục tiêu là L=L_pinball+αL_balance, α=0,01; L_balance điều chuẩn phân bố trọng số router để giảm nguy cơ gate collapse. Trong bản revised, γ_h học được nằm trong khoảng 0,18–0,42, cho thấy cơ chế neo không suy thoái thành persistence baseline.</w:t>
      </w:r>
    </w:p>
    <w:p>
      <w:pPr>
        <w:pStyle w:val="H1x"/>
        <w:keepNext/>
      </w:pPr>
      <w:r>
        <w:rPr>
          <w:rFonts w:ascii="Times New Roman" w:hAnsi="Times New Roman" w:eastAsia="Times New Roman"/>
        </w:rPr>
        <w:t>4. THIẾT LẬP THỰC NGHIỆM</w:t>
      </w:r>
    </w:p>
    <w:p>
      <w:pPr>
        <w:pStyle w:val="H2x"/>
        <w:keepNext/>
      </w:pPr>
      <w:r>
        <w:rPr>
          <w:rFonts w:ascii="Times New Roman" w:hAnsi="Times New Roman" w:eastAsia="Times New Roman"/>
        </w:rPr>
        <w:t>4.1. Dữ liệu và giao thức walk-forward</w:t>
      </w:r>
    </w:p>
    <w:p>
      <w:pPr/>
      <w:r>
        <w:rPr>
          <w:rFonts w:ascii="Times New Roman" w:hAnsi="Times New Roman" w:eastAsia="Times New Roman"/>
          <w:sz w:val="19"/>
        </w:rPr>
        <w:t>Dữ liệu bao phủ 03/11/2008–30/04/2026 với N=4.512 quan sát ngày giao dịch. Hai target được báo cáo là MG95 và DO 0.001% theo Platts; các biến ngoại sinh gồm Platts liên sản phẩm, WTI, Brent, GPR, DXY, sản lượng dầu, crack-spread, realized volatility và biến lịch. Bài báo không dự báo giá bán lẻ điều hành trong nước; các kết luận được giới hạn ở giá thành phẩm Platts.</w:t>
      </w:r>
    </w:p>
    <w:p>
      <w:pPr/>
      <w:r>
        <w:rPr>
          <w:rFonts w:ascii="Times New Roman" w:hAnsi="Times New Roman" w:eastAsia="Times New Roman"/>
          <w:sz w:val="19"/>
        </w:rPr>
        <w:t>Để tránh look-ahead bias, các biến ngày được dùng ở t−1; GPR được áp lag 30 ngày lịch; sản lượng dầu áp lag 7 ngày; các biến rolling được tính sau khi lag. Mọi scaler chỉ fit trên train tại từng bước walk-forward. Lookback L=30; train/validation=85/15 ở mỗi lần mở rộng. Cửa sổ test tăng từ 100 ngày ở H1–H5 lên 600 ngày ở H60.</w:t>
      </w:r>
    </w:p>
    <w:p>
      <w:pPr>
        <w:pStyle w:val="H2x"/>
        <w:keepNext/>
      </w:pPr>
      <w:r>
        <w:rPr>
          <w:rFonts w:ascii="Times New Roman" w:hAnsi="Times New Roman" w:eastAsia="Times New Roman"/>
        </w:rPr>
        <w:t>4.2. Chẩn đoán và cấu hình</w:t>
      </w:r>
    </w:p>
    <w:p>
      <w:pPr/>
      <w:r>
        <w:rPr>
          <w:rFonts w:ascii="Times New Roman" w:hAnsi="Times New Roman" w:eastAsia="Times New Roman"/>
          <w:sz w:val="19"/>
        </w:rPr>
        <w:t>ADF/KPSS cho bằng chứng hỗn hợp về tính dừng ở mức giá, phù hợp với khả năng structural break; sau chuyển log-return, ADF cho p&lt;0,001 trên các chuỗi chính. Kurtosis lớn (MG95=17,51; DO=14,69; WTI=213,35) và ARCH-LM có ý nghĩa cho thấy đuôi dày và phân cụm biến động.</w:t>
      </w:r>
    </w:p>
    <w:tbl>
      <w:tblPr>
        <w:tblW w:type="auto" w:w="0"/>
        <w:jc w:val="center"/>
        <w:tblLayout w:type="autofit"/>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2075"/>
        <w:gridCol w:w="2075"/>
        <w:gridCol w:w="2075"/>
        <w:gridCol w:w="2075"/>
        <w:gridCol w:w="2075"/>
      </w:tblGrid>
      <w:tr>
        <w:trPr>
          <w:tblHeader w:val="true"/>
        </w:trPr>
        <w:tc>
          <w:tcPr>
            <w:tcW w:type="dxa" w:w="2075"/>
            <w:vAlign w:val="center"/>
            <w:tcMar>
              <w:top w:w="25" w:type="dxa"/>
              <w:start w:w="35" w:type="dxa"/>
              <w:bottom w:w="25" w:type="dxa"/>
              <w:end w:w="35" w:type="dxa"/>
            </w:tcMar>
            <w:shd w:fill="E7E6E6"/>
          </w:tcPr>
          <w:p>
            <w:pPr>
              <w:spacing w:after="0" w:line="228" w:lineRule="auto"/>
              <w:jc w:val="left"/>
            </w:pPr>
            <w:r>
              <w:rPr>
                <w:rFonts w:ascii="Times New Roman" w:hAnsi="Times New Roman" w:eastAsia="Times New Roman"/>
                <w:b/>
                <w:sz w:val="14"/>
              </w:rPr>
              <w:t>Chuỗi</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ADF mức p</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KPSS mức p</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ADF return p</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Kurtosis</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MG95</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0.023</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0.010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&lt;0.001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17.51</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DO 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0.505</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0.010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&lt;0.001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14.69</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WTI</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0.033</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0.010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&lt;0.001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213.35</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GPR</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&lt;0.001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0.010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&lt;0.001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1.52</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DXY</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0.555</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0.010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&lt;0.001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4.38</w:t>
            </w:r>
          </w:p>
        </w:tc>
      </w:tr>
    </w:tbl>
    <w:p>
      <w:pPr>
        <w:pStyle w:val="Caption"/>
      </w:pPr>
      <w:r>
        <w:rPr>
          <w:rFonts w:ascii="Times New Roman" w:hAnsi="Times New Roman" w:eastAsia="Times New Roman"/>
          <w:sz w:val="15"/>
        </w:rPr>
        <w:t>Bảng 1. Chẩn đoán thống kê rút gọn của các chuỗi chính.</w:t>
      </w:r>
    </w:p>
    <w:p>
      <w:pPr/>
      <w:r>
        <w:rPr>
          <w:rFonts w:ascii="Times New Roman" w:hAnsi="Times New Roman" w:eastAsia="Times New Roman"/>
          <w:sz w:val="19"/>
        </w:rPr>
        <w:t>Cài đặt sử dụng PyTorch 2.1/Python 3.10, AdamW (lr=10⁻³, weight decay=10⁻⁴), batch size 64, tối đa 100 epoch với early stopping 10. Các expert có hidden size 128, router MLP 64. Phần cứng: Xeon Silver 4216, 512 GB RAM, 4×Tesla T4 16 GB. Kết quả hiện tại dùng seed=42; multi-seed được xem là mở rộng cần thiết trước phiên bản journal.</w:t>
      </w:r>
    </w:p>
    <w:p>
      <w:pPr>
        <w:pStyle w:val="H2x"/>
        <w:keepNext/>
      </w:pPr>
      <w:r>
        <w:rPr>
          <w:rFonts w:ascii="Times New Roman" w:hAnsi="Times New Roman" w:eastAsia="Times New Roman"/>
        </w:rPr>
        <w:t>4.3. Baseline và chỉ số</w:t>
      </w:r>
    </w:p>
    <w:p>
      <w:pPr/>
      <w:r>
        <w:rPr>
          <w:rFonts w:ascii="Times New Roman" w:hAnsi="Times New Roman" w:eastAsia="Times New Roman"/>
          <w:sz w:val="19"/>
        </w:rPr>
        <w:t>Các baseline được báo cáo chi tiết gồm PatchTST [8], iTransformer [9], TimesNet [10], DLinear [11], Chronos [16] và BiMamba (ở bảng xăng của nguồn thực nghiệm). Các mô hình dùng cùng lookback, lag rule và walk-forward protocol. Chỉ số điểm gồm MAE, RMSE, MAPE và R². Directional accuracy được tính bởi DA=(1/N)Σ I[sign(P̂_{t+h}−P_t)=sign(P_{t+h}−P_t)]. Phần xác suất dùng PICP và PINAW. MASE được loại khỏi bản hội nghị này do bảng nguồn có bất nhất số học giữa MAE và MASE ở một số horizon; CRPS không dùng để đối chuẩn vì các baseline báo cáo là dự báo điểm.</w:t>
      </w:r>
    </w:p>
    <w:p>
      <w:r>
        <w:rPr>
          <w:sz w:val="19"/>
        </w:rPr>
        <w:br w:type="page"/>
      </w:r>
    </w:p>
    <w:p>
      <w:pPr>
        <w:pStyle w:val="H1x"/>
        <w:keepNext/>
      </w:pPr>
      <w:r>
        <w:rPr>
          <w:rFonts w:ascii="Times New Roman" w:hAnsi="Times New Roman" w:eastAsia="Times New Roman"/>
        </w:rPr>
        <w:t>5. KẾT QUẢ VÀ THẢO LUẬN</w:t>
      </w:r>
    </w:p>
    <w:p>
      <w:pPr>
        <w:pStyle w:val="H2x"/>
        <w:keepNext/>
      </w:pPr>
      <w:r>
        <w:rPr>
          <w:rFonts w:ascii="Times New Roman" w:hAnsi="Times New Roman" w:eastAsia="Times New Roman"/>
        </w:rPr>
        <w:t>5.1. Hiệu năng điểm đa horizon</w:t>
      </w:r>
    </w:p>
    <w:p>
      <w:pPr/>
      <w:r>
        <w:rPr>
          <w:rFonts w:ascii="Times New Roman" w:hAnsi="Times New Roman" w:eastAsia="Times New Roman"/>
          <w:sz w:val="19"/>
        </w:rPr>
        <w:t>Hình 2 cho thấy GUMNetHet duy trì MAE thấp hơn nhóm baseline được báo cáo ở cả hai sản phẩm, đặc biệt ở H20–H60. Ở H60, MAE của xăng là 4,847 so với 6,933 của baseline tốt nhất (giảm 30,1%); với dầu là 7,066 so với 9,167 (giảm 22,9%). Tuy nhiên, R² tại H60 giảm còn 0,155 (xăng) và −0,007 (dầu), vì vậy kết quả dài hạn nên được hiểu là ổn định sai số mức giá tốt hơn baseline, không phải dự báo quỹ đạo dài hạn hoàn hảo.</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336000" cy="4026989"/>
            <wp:docPr id="2" name="Picture 2"/>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6336000" cy="4026989"/>
                    </a:xfrm>
                    <a:prstGeom prst="rect"/>
                  </pic:spPr>
                </pic:pic>
              </a:graphicData>
            </a:graphic>
          </wp:inline>
        </w:drawing>
      </w:r>
    </w:p>
    <w:p>
      <w:pPr>
        <w:pStyle w:val="Caption"/>
      </w:pPr>
      <w:r>
        <w:rPr>
          <w:rFonts w:ascii="Times New Roman" w:hAnsi="Times New Roman" w:eastAsia="Times New Roman"/>
          <w:sz w:val="15"/>
        </w:rPr>
        <w:t>Hình 2. Đường cong MAE và R² qua bảy horizon cho MG95 và DO 0.001% (Seed=42).</w:t>
      </w:r>
    </w:p>
    <w:tbl>
      <w:tblPr>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trPr>
        <w:tc>
          <w:tcPr>
            <w:tcW w:type="dxa" w:w="1450"/>
            <w:vAlign w:val="center"/>
            <w:shd w:fill="E7E6E6"/>
          </w:tcPr>
          <w:p>
            <w:pPr>
              <w:spacing w:after="0" w:line="211" w:lineRule="auto"/>
              <w:jc w:val="center"/>
            </w:pPr>
            <w:r>
              <w:rPr>
                <w:rFonts w:ascii="Times New Roman" w:hAnsi="Times New Roman" w:eastAsia="Times New Roman"/>
                <w:b/>
                <w:sz w:val="12"/>
              </w:rPr>
              <w:t>H</w:t>
            </w:r>
          </w:p>
        </w:tc>
        <w:tc>
          <w:tcPr>
            <w:tcW w:type="dxa" w:w="1450"/>
            <w:vAlign w:val="center"/>
            <w:shd w:fill="E7E6E6"/>
          </w:tcPr>
          <w:p>
            <w:pPr>
              <w:spacing w:after="0" w:line="211" w:lineRule="auto"/>
              <w:jc w:val="left"/>
            </w:pPr>
            <w:r>
              <w:rPr>
                <w:rFonts w:ascii="Times New Roman" w:hAnsi="Times New Roman" w:eastAsia="Times New Roman"/>
                <w:b/>
                <w:sz w:val="12"/>
              </w:rPr>
              <w:t>Mô hình</w:t>
            </w:r>
          </w:p>
        </w:tc>
        <w:tc>
          <w:tcPr>
            <w:tcW w:type="dxa" w:w="1450"/>
            <w:vAlign w:val="center"/>
            <w:shd w:fill="E7E6E6"/>
          </w:tcPr>
          <w:p>
            <w:pPr>
              <w:spacing w:after="0" w:line="211" w:lineRule="auto"/>
              <w:jc w:val="center"/>
            </w:pPr>
            <w:r>
              <w:rPr>
                <w:rFonts w:ascii="Times New Roman" w:hAnsi="Times New Roman" w:eastAsia="Times New Roman"/>
                <w:b/>
                <w:sz w:val="12"/>
              </w:rPr>
              <w:t>MAE</w:t>
            </w:r>
          </w:p>
        </w:tc>
        <w:tc>
          <w:tcPr>
            <w:tcW w:type="dxa" w:w="1450"/>
            <w:vAlign w:val="center"/>
            <w:shd w:fill="E7E6E6"/>
          </w:tcPr>
          <w:p>
            <w:pPr>
              <w:spacing w:after="0" w:line="211" w:lineRule="auto"/>
              <w:jc w:val="center"/>
            </w:pPr>
            <w:r>
              <w:rPr>
                <w:rFonts w:ascii="Times New Roman" w:hAnsi="Times New Roman" w:eastAsia="Times New Roman"/>
                <w:b/>
                <w:sz w:val="12"/>
              </w:rPr>
              <w:t>RMSE</w:t>
            </w:r>
          </w:p>
        </w:tc>
        <w:tc>
          <w:tcPr>
            <w:tcW w:type="dxa" w:w="1450"/>
            <w:vAlign w:val="center"/>
            <w:shd w:fill="E7E6E6"/>
          </w:tcPr>
          <w:p>
            <w:pPr>
              <w:spacing w:after="0" w:line="211" w:lineRule="auto"/>
              <w:jc w:val="center"/>
            </w:pPr>
            <w:r>
              <w:rPr>
                <w:rFonts w:ascii="Times New Roman" w:hAnsi="Times New Roman" w:eastAsia="Times New Roman"/>
                <w:b/>
                <w:sz w:val="12"/>
              </w:rPr>
              <w:t>MAPE (%)</w:t>
            </w:r>
          </w:p>
        </w:tc>
        <w:tc>
          <w:tcPr>
            <w:tcW w:type="dxa" w:w="1450"/>
            <w:vAlign w:val="center"/>
            <w:shd w:fill="E7E6E6"/>
          </w:tcPr>
          <w:p>
            <w:pPr>
              <w:spacing w:after="0" w:line="211" w:lineRule="auto"/>
              <w:jc w:val="center"/>
            </w:pPr>
            <w:r>
              <w:rPr>
                <w:rFonts w:ascii="Times New Roman" w:hAnsi="Times New Roman" w:eastAsia="Times New Roman"/>
                <w:b/>
                <w:sz w:val="12"/>
              </w:rPr>
              <w:t>R²</w:t>
            </w:r>
          </w:p>
        </w:tc>
        <w:tc>
          <w:tcPr>
            <w:tcW w:type="dxa" w:w="1450"/>
            <w:vAlign w:val="center"/>
            <w:shd w:fill="E7E6E6"/>
          </w:tcPr>
          <w:p>
            <w:pPr>
              <w:spacing w:after="0" w:line="211" w:lineRule="auto"/>
              <w:jc w:val="center"/>
            </w:pPr>
            <w:r>
              <w:rPr>
                <w:rFonts w:ascii="Times New Roman" w:hAnsi="Times New Roman" w:eastAsia="Times New Roman"/>
                <w:b/>
                <w:sz w:val="12"/>
              </w:rPr>
              <w:t>DA (%)</w:t>
            </w:r>
          </w:p>
        </w:tc>
      </w:tr>
      <w:tr>
        <w:tc>
          <w:tcPr>
            <w:tcW w:type="dxa" w:w="1450"/>
            <w:vAlign w:val="center"/>
          </w:tcPr>
          <w:p>
            <w:pPr>
              <w:spacing w:after="0" w:line="211" w:lineRule="auto"/>
              <w:jc w:val="center"/>
            </w:pPr>
            <w:r>
              <w:rPr>
                <w:rFonts w:ascii="Times New Roman" w:hAnsi="Times New Roman" w:eastAsia="Times New Roman"/>
                <w:b/>
                <w:sz w:val="12"/>
              </w:rPr>
              <w:t>H1</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2.7921</w:t>
            </w:r>
          </w:p>
        </w:tc>
        <w:tc>
          <w:tcPr>
            <w:tcW w:type="dxa" w:w="1450"/>
            <w:vAlign w:val="center"/>
          </w:tcPr>
          <w:p>
            <w:pPr>
              <w:spacing w:after="0" w:line="211" w:lineRule="auto"/>
              <w:jc w:val="center"/>
            </w:pPr>
            <w:r>
              <w:rPr>
                <w:rFonts w:ascii="Times New Roman" w:hAnsi="Times New Roman" w:eastAsia="Times New Roman"/>
                <w:b/>
                <w:sz w:val="12"/>
              </w:rPr>
              <w:t>5.0249</w:t>
            </w:r>
          </w:p>
        </w:tc>
        <w:tc>
          <w:tcPr>
            <w:tcW w:type="dxa" w:w="1450"/>
            <w:vAlign w:val="center"/>
          </w:tcPr>
          <w:p>
            <w:pPr>
              <w:spacing w:after="0" w:line="211" w:lineRule="auto"/>
              <w:jc w:val="center"/>
            </w:pPr>
            <w:r>
              <w:rPr>
                <w:rFonts w:ascii="Times New Roman" w:hAnsi="Times New Roman" w:eastAsia="Times New Roman"/>
                <w:b/>
                <w:sz w:val="12"/>
              </w:rPr>
              <w:t>2.45</w:t>
            </w:r>
          </w:p>
        </w:tc>
        <w:tc>
          <w:tcPr>
            <w:tcW w:type="dxa" w:w="1450"/>
            <w:vAlign w:val="center"/>
          </w:tcPr>
          <w:p>
            <w:pPr>
              <w:spacing w:after="0" w:line="211" w:lineRule="auto"/>
              <w:jc w:val="center"/>
            </w:pPr>
            <w:r>
              <w:rPr>
                <w:rFonts w:ascii="Times New Roman" w:hAnsi="Times New Roman" w:eastAsia="Times New Roman"/>
                <w:b/>
                <w:sz w:val="12"/>
              </w:rPr>
              <w:t>0.9727</w:t>
            </w:r>
          </w:p>
        </w:tc>
        <w:tc>
          <w:tcPr>
            <w:tcW w:type="dxa" w:w="1450"/>
            <w:vAlign w:val="center"/>
          </w:tcPr>
          <w:p>
            <w:pPr>
              <w:spacing w:after="0" w:line="211" w:lineRule="auto"/>
              <w:jc w:val="center"/>
            </w:pPr>
            <w:r>
              <w:rPr>
                <w:rFonts w:ascii="Times New Roman" w:hAnsi="Times New Roman" w:eastAsia="Times New Roman"/>
                <w:b/>
                <w:sz w:val="12"/>
              </w:rPr>
              <w:t>91.46</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2.8834</w:t>
            </w:r>
          </w:p>
        </w:tc>
        <w:tc>
          <w:tcPr>
            <w:tcW w:type="dxa" w:w="1450"/>
            <w:vAlign w:val="center"/>
          </w:tcPr>
          <w:p>
            <w:pPr>
              <w:spacing w:after="0" w:line="211" w:lineRule="auto"/>
              <w:jc w:val="center"/>
            </w:pPr>
            <w:r>
              <w:rPr>
                <w:rFonts w:ascii="Times New Roman" w:hAnsi="Times New Roman" w:eastAsia="Times New Roman"/>
                <w:sz w:val="12"/>
              </w:rPr>
              <w:t>5.1146</w:t>
            </w:r>
          </w:p>
        </w:tc>
        <w:tc>
          <w:tcPr>
            <w:tcW w:type="dxa" w:w="1450"/>
            <w:vAlign w:val="center"/>
          </w:tcPr>
          <w:p>
            <w:pPr>
              <w:spacing w:after="0" w:line="211" w:lineRule="auto"/>
              <w:jc w:val="center"/>
            </w:pPr>
            <w:r>
              <w:rPr>
                <w:rFonts w:ascii="Times New Roman" w:hAnsi="Times New Roman" w:eastAsia="Times New Roman"/>
                <w:sz w:val="12"/>
              </w:rPr>
              <w:t>2.53</w:t>
            </w:r>
          </w:p>
        </w:tc>
        <w:tc>
          <w:tcPr>
            <w:tcW w:type="dxa" w:w="1450"/>
            <w:vAlign w:val="center"/>
          </w:tcPr>
          <w:p>
            <w:pPr>
              <w:spacing w:after="0" w:line="211" w:lineRule="auto"/>
              <w:jc w:val="center"/>
            </w:pPr>
            <w:r>
              <w:rPr>
                <w:rFonts w:ascii="Times New Roman" w:hAnsi="Times New Roman" w:eastAsia="Times New Roman"/>
                <w:sz w:val="12"/>
              </w:rPr>
              <w:t>0.9718</w:t>
            </w:r>
          </w:p>
        </w:tc>
        <w:tc>
          <w:tcPr>
            <w:tcW w:type="dxa" w:w="1450"/>
            <w:vAlign w:val="center"/>
          </w:tcPr>
          <w:p>
            <w:pPr>
              <w:spacing w:after="0" w:line="211" w:lineRule="auto"/>
              <w:jc w:val="center"/>
            </w:pPr>
            <w:r>
              <w:rPr>
                <w:rFonts w:ascii="Times New Roman" w:hAnsi="Times New Roman" w:eastAsia="Times New Roman"/>
                <w:sz w:val="12"/>
              </w:rPr>
              <w:t>61.11</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2.9809</w:t>
            </w:r>
          </w:p>
        </w:tc>
        <w:tc>
          <w:tcPr>
            <w:tcW w:type="dxa" w:w="1450"/>
            <w:vAlign w:val="center"/>
          </w:tcPr>
          <w:p>
            <w:pPr>
              <w:spacing w:after="0" w:line="211" w:lineRule="auto"/>
              <w:jc w:val="center"/>
            </w:pPr>
            <w:r>
              <w:rPr>
                <w:rFonts w:ascii="Times New Roman" w:hAnsi="Times New Roman" w:eastAsia="Times New Roman"/>
                <w:sz w:val="12"/>
              </w:rPr>
              <w:t>5.3918</w:t>
            </w:r>
          </w:p>
        </w:tc>
        <w:tc>
          <w:tcPr>
            <w:tcW w:type="dxa" w:w="1450"/>
            <w:vAlign w:val="center"/>
          </w:tcPr>
          <w:p>
            <w:pPr>
              <w:spacing w:after="0" w:line="211" w:lineRule="auto"/>
              <w:jc w:val="center"/>
            </w:pPr>
            <w:r>
              <w:rPr>
                <w:rFonts w:ascii="Times New Roman" w:hAnsi="Times New Roman" w:eastAsia="Times New Roman"/>
                <w:sz w:val="12"/>
              </w:rPr>
              <w:t>2.61</w:t>
            </w:r>
          </w:p>
        </w:tc>
        <w:tc>
          <w:tcPr>
            <w:tcW w:type="dxa" w:w="1450"/>
            <w:vAlign w:val="center"/>
          </w:tcPr>
          <w:p>
            <w:pPr>
              <w:spacing w:after="0" w:line="211" w:lineRule="auto"/>
              <w:jc w:val="center"/>
            </w:pPr>
            <w:r>
              <w:rPr>
                <w:rFonts w:ascii="Times New Roman" w:hAnsi="Times New Roman" w:eastAsia="Times New Roman"/>
                <w:sz w:val="12"/>
              </w:rPr>
              <w:t>0.9686</w:t>
            </w:r>
          </w:p>
        </w:tc>
        <w:tc>
          <w:tcPr>
            <w:tcW w:type="dxa" w:w="1450"/>
            <w:vAlign w:val="center"/>
          </w:tcPr>
          <w:p>
            <w:pPr>
              <w:spacing w:after="0" w:line="211" w:lineRule="auto"/>
              <w:jc w:val="center"/>
            </w:pPr>
            <w:r>
              <w:rPr>
                <w:rFonts w:ascii="Times New Roman" w:hAnsi="Times New Roman" w:eastAsia="Times New Roman"/>
                <w:sz w:val="12"/>
              </w:rPr>
              <w:t>57.07</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3.1192</w:t>
            </w:r>
          </w:p>
        </w:tc>
        <w:tc>
          <w:tcPr>
            <w:tcW w:type="dxa" w:w="1450"/>
            <w:vAlign w:val="center"/>
          </w:tcPr>
          <w:p>
            <w:pPr>
              <w:spacing w:after="0" w:line="211" w:lineRule="auto"/>
              <w:jc w:val="center"/>
            </w:pPr>
            <w:r>
              <w:rPr>
                <w:rFonts w:ascii="Times New Roman" w:hAnsi="Times New Roman" w:eastAsia="Times New Roman"/>
                <w:sz w:val="12"/>
              </w:rPr>
              <w:t>5.7423</w:t>
            </w:r>
          </w:p>
        </w:tc>
        <w:tc>
          <w:tcPr>
            <w:tcW w:type="dxa" w:w="1450"/>
            <w:vAlign w:val="center"/>
          </w:tcPr>
          <w:p>
            <w:pPr>
              <w:spacing w:after="0" w:line="211" w:lineRule="auto"/>
              <w:jc w:val="center"/>
            </w:pPr>
            <w:r>
              <w:rPr>
                <w:rFonts w:ascii="Times New Roman" w:hAnsi="Times New Roman" w:eastAsia="Times New Roman"/>
                <w:sz w:val="12"/>
              </w:rPr>
              <w:t>2.74</w:t>
            </w:r>
          </w:p>
        </w:tc>
        <w:tc>
          <w:tcPr>
            <w:tcW w:type="dxa" w:w="1450"/>
            <w:vAlign w:val="center"/>
          </w:tcPr>
          <w:p>
            <w:pPr>
              <w:spacing w:after="0" w:line="211" w:lineRule="auto"/>
              <w:jc w:val="center"/>
            </w:pPr>
            <w:r>
              <w:rPr>
                <w:rFonts w:ascii="Times New Roman" w:hAnsi="Times New Roman" w:eastAsia="Times New Roman"/>
                <w:sz w:val="12"/>
              </w:rPr>
              <w:t>0.9644</w:t>
            </w:r>
          </w:p>
        </w:tc>
        <w:tc>
          <w:tcPr>
            <w:tcW w:type="dxa" w:w="1450"/>
            <w:vAlign w:val="center"/>
          </w:tcPr>
          <w:p>
            <w:pPr>
              <w:spacing w:after="0" w:line="211" w:lineRule="auto"/>
              <w:jc w:val="center"/>
            </w:pPr>
            <w:r>
              <w:rPr>
                <w:rFonts w:ascii="Times New Roman" w:hAnsi="Times New Roman" w:eastAsia="Times New Roman"/>
                <w:sz w:val="12"/>
              </w:rPr>
              <w:t>59.09</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3.0237</w:t>
            </w:r>
          </w:p>
        </w:tc>
        <w:tc>
          <w:tcPr>
            <w:tcW w:type="dxa" w:w="1450"/>
            <w:vAlign w:val="center"/>
          </w:tcPr>
          <w:p>
            <w:pPr>
              <w:spacing w:after="0" w:line="211" w:lineRule="auto"/>
              <w:jc w:val="center"/>
            </w:pPr>
            <w:r>
              <w:rPr>
                <w:rFonts w:ascii="Times New Roman" w:hAnsi="Times New Roman" w:eastAsia="Times New Roman"/>
                <w:sz w:val="12"/>
              </w:rPr>
              <w:t>5.5721</w:t>
            </w:r>
          </w:p>
        </w:tc>
        <w:tc>
          <w:tcPr>
            <w:tcW w:type="dxa" w:w="1450"/>
            <w:vAlign w:val="center"/>
          </w:tcPr>
          <w:p>
            <w:pPr>
              <w:spacing w:after="0" w:line="211" w:lineRule="auto"/>
              <w:jc w:val="center"/>
            </w:pPr>
            <w:r>
              <w:rPr>
                <w:rFonts w:ascii="Times New Roman" w:hAnsi="Times New Roman" w:eastAsia="Times New Roman"/>
                <w:sz w:val="12"/>
              </w:rPr>
              <w:t>2.65</w:t>
            </w:r>
          </w:p>
        </w:tc>
        <w:tc>
          <w:tcPr>
            <w:tcW w:type="dxa" w:w="1450"/>
            <w:vAlign w:val="center"/>
          </w:tcPr>
          <w:p>
            <w:pPr>
              <w:spacing w:after="0" w:line="211" w:lineRule="auto"/>
              <w:jc w:val="center"/>
            </w:pPr>
            <w:r>
              <w:rPr>
                <w:rFonts w:ascii="Times New Roman" w:hAnsi="Times New Roman" w:eastAsia="Times New Roman"/>
                <w:sz w:val="12"/>
              </w:rPr>
              <w:t>0.9665</w:t>
            </w:r>
          </w:p>
        </w:tc>
        <w:tc>
          <w:tcPr>
            <w:tcW w:type="dxa" w:w="1450"/>
            <w:vAlign w:val="center"/>
          </w:tcPr>
          <w:p>
            <w:pPr>
              <w:spacing w:after="0" w:line="211" w:lineRule="auto"/>
              <w:jc w:val="center"/>
            </w:pPr>
            <w:r>
              <w:rPr>
                <w:rFonts w:ascii="Times New Roman" w:hAnsi="Times New Roman" w:eastAsia="Times New Roman"/>
                <w:sz w:val="12"/>
              </w:rPr>
              <w:t>54.55</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3.3320</w:t>
            </w:r>
          </w:p>
        </w:tc>
        <w:tc>
          <w:tcPr>
            <w:tcW w:type="dxa" w:w="1450"/>
            <w:vAlign w:val="center"/>
          </w:tcPr>
          <w:p>
            <w:pPr>
              <w:spacing w:after="0" w:line="211" w:lineRule="auto"/>
              <w:jc w:val="center"/>
            </w:pPr>
            <w:r>
              <w:rPr>
                <w:rFonts w:ascii="Times New Roman" w:hAnsi="Times New Roman" w:eastAsia="Times New Roman"/>
                <w:sz w:val="12"/>
              </w:rPr>
              <w:t>6.2491</w:t>
            </w:r>
          </w:p>
        </w:tc>
        <w:tc>
          <w:tcPr>
            <w:tcW w:type="dxa" w:w="1450"/>
            <w:vAlign w:val="center"/>
          </w:tcPr>
          <w:p>
            <w:pPr>
              <w:spacing w:after="0" w:line="211" w:lineRule="auto"/>
              <w:jc w:val="center"/>
            </w:pPr>
            <w:r>
              <w:rPr>
                <w:rFonts w:ascii="Times New Roman" w:hAnsi="Times New Roman" w:eastAsia="Times New Roman"/>
                <w:sz w:val="12"/>
              </w:rPr>
              <w:t>2.91</w:t>
            </w:r>
          </w:p>
        </w:tc>
        <w:tc>
          <w:tcPr>
            <w:tcW w:type="dxa" w:w="1450"/>
            <w:vAlign w:val="center"/>
          </w:tcPr>
          <w:p>
            <w:pPr>
              <w:spacing w:after="0" w:line="211" w:lineRule="auto"/>
              <w:jc w:val="center"/>
            </w:pPr>
            <w:r>
              <w:rPr>
                <w:rFonts w:ascii="Times New Roman" w:hAnsi="Times New Roman" w:eastAsia="Times New Roman"/>
                <w:sz w:val="12"/>
              </w:rPr>
              <w:t>0.9578</w:t>
            </w:r>
          </w:p>
        </w:tc>
        <w:tc>
          <w:tcPr>
            <w:tcW w:type="dxa" w:w="1450"/>
            <w:vAlign w:val="center"/>
          </w:tcPr>
          <w:p>
            <w:pPr>
              <w:spacing w:after="0" w:line="211" w:lineRule="auto"/>
              <w:jc w:val="center"/>
            </w:pPr>
            <w:r>
              <w:rPr>
                <w:rFonts w:ascii="Times New Roman" w:hAnsi="Times New Roman" w:eastAsia="Times New Roman"/>
                <w:sz w:val="12"/>
              </w:rPr>
              <w:t>54.55</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3.0436</w:t>
            </w:r>
          </w:p>
        </w:tc>
        <w:tc>
          <w:tcPr>
            <w:tcW w:type="dxa" w:w="1450"/>
            <w:vAlign w:val="center"/>
          </w:tcPr>
          <w:p>
            <w:pPr>
              <w:spacing w:after="0" w:line="211" w:lineRule="auto"/>
              <w:jc w:val="center"/>
            </w:pPr>
            <w:r>
              <w:rPr>
                <w:rFonts w:ascii="Times New Roman" w:hAnsi="Times New Roman" w:eastAsia="Times New Roman"/>
                <w:sz w:val="12"/>
              </w:rPr>
              <w:t>5.3617</w:t>
            </w:r>
          </w:p>
        </w:tc>
        <w:tc>
          <w:tcPr>
            <w:tcW w:type="dxa" w:w="1450"/>
            <w:vAlign w:val="center"/>
          </w:tcPr>
          <w:p>
            <w:pPr>
              <w:spacing w:after="0" w:line="211" w:lineRule="auto"/>
              <w:jc w:val="center"/>
            </w:pPr>
            <w:r>
              <w:rPr>
                <w:rFonts w:ascii="Times New Roman" w:hAnsi="Times New Roman" w:eastAsia="Times New Roman"/>
                <w:sz w:val="12"/>
              </w:rPr>
              <w:t>2.70</w:t>
            </w:r>
          </w:p>
        </w:tc>
        <w:tc>
          <w:tcPr>
            <w:tcW w:type="dxa" w:w="1450"/>
            <w:vAlign w:val="center"/>
          </w:tcPr>
          <w:p>
            <w:pPr>
              <w:spacing w:after="0" w:line="211" w:lineRule="auto"/>
              <w:jc w:val="center"/>
            </w:pPr>
            <w:r>
              <w:rPr>
                <w:rFonts w:ascii="Times New Roman" w:hAnsi="Times New Roman" w:eastAsia="Times New Roman"/>
                <w:sz w:val="12"/>
              </w:rPr>
              <w:t>0.9690</w:t>
            </w:r>
          </w:p>
        </w:tc>
        <w:tc>
          <w:tcPr>
            <w:tcW w:type="dxa" w:w="1450"/>
            <w:vAlign w:val="center"/>
          </w:tcPr>
          <w:p>
            <w:pPr>
              <w:spacing w:after="0" w:line="211" w:lineRule="auto"/>
              <w:jc w:val="center"/>
            </w:pPr>
            <w:r>
              <w:rPr>
                <w:rFonts w:ascii="Times New Roman" w:hAnsi="Times New Roman" w:eastAsia="Times New Roman"/>
                <w:sz w:val="12"/>
              </w:rPr>
              <w:t>61.62</w:t>
            </w:r>
          </w:p>
        </w:tc>
      </w:tr>
      <w:tr>
        <w:tc>
          <w:tcPr>
            <w:tcW w:type="dxa" w:w="1450"/>
            <w:vAlign w:val="center"/>
          </w:tcPr>
          <w:p>
            <w:pPr>
              <w:spacing w:after="0" w:line="211" w:lineRule="auto"/>
              <w:jc w:val="center"/>
            </w:pPr>
            <w:r>
              <w:rPr>
                <w:rFonts w:ascii="Times New Roman" w:hAnsi="Times New Roman" w:eastAsia="Times New Roman"/>
                <w:b/>
                <w:sz w:val="12"/>
              </w:rPr>
              <w:t>H3</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4.6691</w:t>
            </w:r>
          </w:p>
        </w:tc>
        <w:tc>
          <w:tcPr>
            <w:tcW w:type="dxa" w:w="1450"/>
            <w:vAlign w:val="center"/>
          </w:tcPr>
          <w:p>
            <w:pPr>
              <w:spacing w:after="0" w:line="211" w:lineRule="auto"/>
              <w:jc w:val="center"/>
            </w:pPr>
            <w:r>
              <w:rPr>
                <w:rFonts w:ascii="Times New Roman" w:hAnsi="Times New Roman" w:eastAsia="Times New Roman"/>
                <w:b/>
                <w:sz w:val="12"/>
              </w:rPr>
              <w:t>8.4898</w:t>
            </w:r>
          </w:p>
        </w:tc>
        <w:tc>
          <w:tcPr>
            <w:tcW w:type="dxa" w:w="1450"/>
            <w:vAlign w:val="center"/>
          </w:tcPr>
          <w:p>
            <w:pPr>
              <w:spacing w:after="0" w:line="211" w:lineRule="auto"/>
              <w:jc w:val="center"/>
            </w:pPr>
            <w:r>
              <w:rPr>
                <w:rFonts w:ascii="Times New Roman" w:hAnsi="Times New Roman" w:eastAsia="Times New Roman"/>
                <w:b/>
                <w:sz w:val="12"/>
              </w:rPr>
              <w:t>4.14</w:t>
            </w:r>
          </w:p>
        </w:tc>
        <w:tc>
          <w:tcPr>
            <w:tcW w:type="dxa" w:w="1450"/>
            <w:vAlign w:val="center"/>
          </w:tcPr>
          <w:p>
            <w:pPr>
              <w:spacing w:after="0" w:line="211" w:lineRule="auto"/>
              <w:jc w:val="center"/>
            </w:pPr>
            <w:r>
              <w:rPr>
                <w:rFonts w:ascii="Times New Roman" w:hAnsi="Times New Roman" w:eastAsia="Times New Roman"/>
                <w:b/>
                <w:sz w:val="12"/>
              </w:rPr>
              <w:t>0.9218</w:t>
            </w:r>
          </w:p>
        </w:tc>
        <w:tc>
          <w:tcPr>
            <w:tcW w:type="dxa" w:w="1450"/>
            <w:vAlign w:val="center"/>
          </w:tcPr>
          <w:p>
            <w:pPr>
              <w:spacing w:after="0" w:line="211" w:lineRule="auto"/>
              <w:jc w:val="center"/>
            </w:pPr>
            <w:r>
              <w:rPr>
                <w:rFonts w:ascii="Times New Roman" w:hAnsi="Times New Roman" w:eastAsia="Times New Roman"/>
                <w:b/>
                <w:sz w:val="12"/>
              </w:rPr>
              <w:t>91.37</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4.8262</w:t>
            </w:r>
          </w:p>
        </w:tc>
        <w:tc>
          <w:tcPr>
            <w:tcW w:type="dxa" w:w="1450"/>
            <w:vAlign w:val="center"/>
          </w:tcPr>
          <w:p>
            <w:pPr>
              <w:spacing w:after="0" w:line="211" w:lineRule="auto"/>
              <w:jc w:val="center"/>
            </w:pPr>
            <w:r>
              <w:rPr>
                <w:rFonts w:ascii="Times New Roman" w:hAnsi="Times New Roman" w:eastAsia="Times New Roman"/>
                <w:sz w:val="12"/>
              </w:rPr>
              <w:t>8.3000</w:t>
            </w:r>
          </w:p>
        </w:tc>
        <w:tc>
          <w:tcPr>
            <w:tcW w:type="dxa" w:w="1450"/>
            <w:vAlign w:val="center"/>
          </w:tcPr>
          <w:p>
            <w:pPr>
              <w:spacing w:after="0" w:line="211" w:lineRule="auto"/>
              <w:jc w:val="center"/>
            </w:pPr>
            <w:r>
              <w:rPr>
                <w:rFonts w:ascii="Times New Roman" w:hAnsi="Times New Roman" w:eastAsia="Times New Roman"/>
                <w:sz w:val="12"/>
              </w:rPr>
              <w:t>4.22</w:t>
            </w:r>
          </w:p>
        </w:tc>
        <w:tc>
          <w:tcPr>
            <w:tcW w:type="dxa" w:w="1450"/>
            <w:vAlign w:val="center"/>
          </w:tcPr>
          <w:p>
            <w:pPr>
              <w:spacing w:after="0" w:line="211" w:lineRule="auto"/>
              <w:jc w:val="center"/>
            </w:pPr>
            <w:r>
              <w:rPr>
                <w:rFonts w:ascii="Times New Roman" w:hAnsi="Times New Roman" w:eastAsia="Times New Roman"/>
                <w:sz w:val="12"/>
              </w:rPr>
              <w:t>0.9253</w:t>
            </w:r>
          </w:p>
        </w:tc>
        <w:tc>
          <w:tcPr>
            <w:tcW w:type="dxa" w:w="1450"/>
            <w:vAlign w:val="center"/>
          </w:tcPr>
          <w:p>
            <w:pPr>
              <w:spacing w:after="0" w:line="211" w:lineRule="auto"/>
              <w:jc w:val="center"/>
            </w:pPr>
            <w:r>
              <w:rPr>
                <w:rFonts w:ascii="Times New Roman" w:hAnsi="Times New Roman" w:eastAsia="Times New Roman"/>
                <w:sz w:val="12"/>
              </w:rPr>
              <w:t>47.45</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5.0313</w:t>
            </w:r>
          </w:p>
        </w:tc>
        <w:tc>
          <w:tcPr>
            <w:tcW w:type="dxa" w:w="1450"/>
            <w:vAlign w:val="center"/>
          </w:tcPr>
          <w:p>
            <w:pPr>
              <w:spacing w:after="0" w:line="211" w:lineRule="auto"/>
              <w:jc w:val="center"/>
            </w:pPr>
            <w:r>
              <w:rPr>
                <w:rFonts w:ascii="Times New Roman" w:hAnsi="Times New Roman" w:eastAsia="Times New Roman"/>
                <w:sz w:val="12"/>
              </w:rPr>
              <w:t>8.7446</w:t>
            </w:r>
          </w:p>
        </w:tc>
        <w:tc>
          <w:tcPr>
            <w:tcW w:type="dxa" w:w="1450"/>
            <w:vAlign w:val="center"/>
          </w:tcPr>
          <w:p>
            <w:pPr>
              <w:spacing w:after="0" w:line="211" w:lineRule="auto"/>
              <w:jc w:val="center"/>
            </w:pPr>
            <w:r>
              <w:rPr>
                <w:rFonts w:ascii="Times New Roman" w:hAnsi="Times New Roman" w:eastAsia="Times New Roman"/>
                <w:sz w:val="12"/>
              </w:rPr>
              <w:t>4.47</w:t>
            </w:r>
          </w:p>
        </w:tc>
        <w:tc>
          <w:tcPr>
            <w:tcW w:type="dxa" w:w="1450"/>
            <w:vAlign w:val="center"/>
          </w:tcPr>
          <w:p>
            <w:pPr>
              <w:spacing w:after="0" w:line="211" w:lineRule="auto"/>
              <w:jc w:val="center"/>
            </w:pPr>
            <w:r>
              <w:rPr>
                <w:rFonts w:ascii="Times New Roman" w:hAnsi="Times New Roman" w:eastAsia="Times New Roman"/>
                <w:sz w:val="12"/>
              </w:rPr>
              <w:t>0.9171</w:t>
            </w:r>
          </w:p>
        </w:tc>
        <w:tc>
          <w:tcPr>
            <w:tcW w:type="dxa" w:w="1450"/>
            <w:vAlign w:val="center"/>
          </w:tcPr>
          <w:p>
            <w:pPr>
              <w:spacing w:after="0" w:line="211" w:lineRule="auto"/>
              <w:jc w:val="center"/>
            </w:pPr>
            <w:r>
              <w:rPr>
                <w:rFonts w:ascii="Times New Roman" w:hAnsi="Times New Roman" w:eastAsia="Times New Roman"/>
                <w:sz w:val="12"/>
              </w:rPr>
              <w:t>40.82</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4.9776</w:t>
            </w:r>
          </w:p>
        </w:tc>
        <w:tc>
          <w:tcPr>
            <w:tcW w:type="dxa" w:w="1450"/>
            <w:vAlign w:val="center"/>
          </w:tcPr>
          <w:p>
            <w:pPr>
              <w:spacing w:after="0" w:line="211" w:lineRule="auto"/>
              <w:jc w:val="center"/>
            </w:pPr>
            <w:r>
              <w:rPr>
                <w:rFonts w:ascii="Times New Roman" w:hAnsi="Times New Roman" w:eastAsia="Times New Roman"/>
                <w:sz w:val="12"/>
              </w:rPr>
              <w:t>8.8658</w:t>
            </w:r>
          </w:p>
        </w:tc>
        <w:tc>
          <w:tcPr>
            <w:tcW w:type="dxa" w:w="1450"/>
            <w:vAlign w:val="center"/>
          </w:tcPr>
          <w:p>
            <w:pPr>
              <w:spacing w:after="0" w:line="211" w:lineRule="auto"/>
              <w:jc w:val="center"/>
            </w:pPr>
            <w:r>
              <w:rPr>
                <w:rFonts w:ascii="Times New Roman" w:hAnsi="Times New Roman" w:eastAsia="Times New Roman"/>
                <w:sz w:val="12"/>
              </w:rPr>
              <w:t>4.41</w:t>
            </w:r>
          </w:p>
        </w:tc>
        <w:tc>
          <w:tcPr>
            <w:tcW w:type="dxa" w:w="1450"/>
            <w:vAlign w:val="center"/>
          </w:tcPr>
          <w:p>
            <w:pPr>
              <w:spacing w:after="0" w:line="211" w:lineRule="auto"/>
              <w:jc w:val="center"/>
            </w:pPr>
            <w:r>
              <w:rPr>
                <w:rFonts w:ascii="Times New Roman" w:hAnsi="Times New Roman" w:eastAsia="Times New Roman"/>
                <w:sz w:val="12"/>
              </w:rPr>
              <w:t>0.9147</w:t>
            </w:r>
          </w:p>
        </w:tc>
        <w:tc>
          <w:tcPr>
            <w:tcW w:type="dxa" w:w="1450"/>
            <w:vAlign w:val="center"/>
          </w:tcPr>
          <w:p>
            <w:pPr>
              <w:spacing w:after="0" w:line="211" w:lineRule="auto"/>
              <w:jc w:val="center"/>
            </w:pPr>
            <w:r>
              <w:rPr>
                <w:rFonts w:ascii="Times New Roman" w:hAnsi="Times New Roman" w:eastAsia="Times New Roman"/>
                <w:sz w:val="12"/>
              </w:rPr>
              <w:t>46.43</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5.0211</w:t>
            </w:r>
          </w:p>
        </w:tc>
        <w:tc>
          <w:tcPr>
            <w:tcW w:type="dxa" w:w="1450"/>
            <w:vAlign w:val="center"/>
          </w:tcPr>
          <w:p>
            <w:pPr>
              <w:spacing w:after="0" w:line="211" w:lineRule="auto"/>
              <w:jc w:val="center"/>
            </w:pPr>
            <w:r>
              <w:rPr>
                <w:rFonts w:ascii="Times New Roman" w:hAnsi="Times New Roman" w:eastAsia="Times New Roman"/>
                <w:sz w:val="12"/>
              </w:rPr>
              <w:t>9.2494</w:t>
            </w:r>
          </w:p>
        </w:tc>
        <w:tc>
          <w:tcPr>
            <w:tcW w:type="dxa" w:w="1450"/>
            <w:vAlign w:val="center"/>
          </w:tcPr>
          <w:p>
            <w:pPr>
              <w:spacing w:after="0" w:line="211" w:lineRule="auto"/>
              <w:jc w:val="center"/>
            </w:pPr>
            <w:r>
              <w:rPr>
                <w:rFonts w:ascii="Times New Roman" w:hAnsi="Times New Roman" w:eastAsia="Times New Roman"/>
                <w:sz w:val="12"/>
              </w:rPr>
              <w:t>4.45</w:t>
            </w:r>
          </w:p>
        </w:tc>
        <w:tc>
          <w:tcPr>
            <w:tcW w:type="dxa" w:w="1450"/>
            <w:vAlign w:val="center"/>
          </w:tcPr>
          <w:p>
            <w:pPr>
              <w:spacing w:after="0" w:line="211" w:lineRule="auto"/>
              <w:jc w:val="center"/>
            </w:pPr>
            <w:r>
              <w:rPr>
                <w:rFonts w:ascii="Times New Roman" w:hAnsi="Times New Roman" w:eastAsia="Times New Roman"/>
                <w:sz w:val="12"/>
              </w:rPr>
              <w:t>0.9072</w:t>
            </w:r>
          </w:p>
        </w:tc>
        <w:tc>
          <w:tcPr>
            <w:tcW w:type="dxa" w:w="1450"/>
            <w:vAlign w:val="center"/>
          </w:tcPr>
          <w:p>
            <w:pPr>
              <w:spacing w:after="0" w:line="211" w:lineRule="auto"/>
              <w:jc w:val="center"/>
            </w:pPr>
            <w:r>
              <w:rPr>
                <w:rFonts w:ascii="Times New Roman" w:hAnsi="Times New Roman" w:eastAsia="Times New Roman"/>
                <w:sz w:val="12"/>
              </w:rPr>
              <w:t>44.39</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5.4216</w:t>
            </w:r>
          </w:p>
        </w:tc>
        <w:tc>
          <w:tcPr>
            <w:tcW w:type="dxa" w:w="1450"/>
            <w:vAlign w:val="center"/>
          </w:tcPr>
          <w:p>
            <w:pPr>
              <w:spacing w:after="0" w:line="211" w:lineRule="auto"/>
              <w:jc w:val="center"/>
            </w:pPr>
            <w:r>
              <w:rPr>
                <w:rFonts w:ascii="Times New Roman" w:hAnsi="Times New Roman" w:eastAsia="Times New Roman"/>
                <w:sz w:val="12"/>
              </w:rPr>
              <w:t>10.0286</w:t>
            </w:r>
          </w:p>
        </w:tc>
        <w:tc>
          <w:tcPr>
            <w:tcW w:type="dxa" w:w="1450"/>
            <w:vAlign w:val="center"/>
          </w:tcPr>
          <w:p>
            <w:pPr>
              <w:spacing w:after="0" w:line="211" w:lineRule="auto"/>
              <w:jc w:val="center"/>
            </w:pPr>
            <w:r>
              <w:rPr>
                <w:rFonts w:ascii="Times New Roman" w:hAnsi="Times New Roman" w:eastAsia="Times New Roman"/>
                <w:sz w:val="12"/>
              </w:rPr>
              <w:t>4.77</w:t>
            </w:r>
          </w:p>
        </w:tc>
        <w:tc>
          <w:tcPr>
            <w:tcW w:type="dxa" w:w="1450"/>
            <w:vAlign w:val="center"/>
          </w:tcPr>
          <w:p>
            <w:pPr>
              <w:spacing w:after="0" w:line="211" w:lineRule="auto"/>
              <w:jc w:val="center"/>
            </w:pPr>
            <w:r>
              <w:rPr>
                <w:rFonts w:ascii="Times New Roman" w:hAnsi="Times New Roman" w:eastAsia="Times New Roman"/>
                <w:sz w:val="12"/>
              </w:rPr>
              <w:t>0.8909</w:t>
            </w:r>
          </w:p>
        </w:tc>
        <w:tc>
          <w:tcPr>
            <w:tcW w:type="dxa" w:w="1450"/>
            <w:vAlign w:val="center"/>
          </w:tcPr>
          <w:p>
            <w:pPr>
              <w:spacing w:after="0" w:line="211" w:lineRule="auto"/>
              <w:jc w:val="center"/>
            </w:pPr>
            <w:r>
              <w:rPr>
                <w:rFonts w:ascii="Times New Roman" w:hAnsi="Times New Roman" w:eastAsia="Times New Roman"/>
                <w:sz w:val="12"/>
              </w:rPr>
              <w:t>40.82</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5.1084</w:t>
            </w:r>
          </w:p>
        </w:tc>
        <w:tc>
          <w:tcPr>
            <w:tcW w:type="dxa" w:w="1450"/>
            <w:vAlign w:val="center"/>
          </w:tcPr>
          <w:p>
            <w:pPr>
              <w:spacing w:after="0" w:line="211" w:lineRule="auto"/>
              <w:jc w:val="center"/>
            </w:pPr>
            <w:r>
              <w:rPr>
                <w:rFonts w:ascii="Times New Roman" w:hAnsi="Times New Roman" w:eastAsia="Times New Roman"/>
                <w:sz w:val="12"/>
              </w:rPr>
              <w:t>8.7883</w:t>
            </w:r>
          </w:p>
        </w:tc>
        <w:tc>
          <w:tcPr>
            <w:tcW w:type="dxa" w:w="1450"/>
            <w:vAlign w:val="center"/>
          </w:tcPr>
          <w:p>
            <w:pPr>
              <w:spacing w:after="0" w:line="211" w:lineRule="auto"/>
              <w:jc w:val="center"/>
            </w:pPr>
            <w:r>
              <w:rPr>
                <w:rFonts w:ascii="Times New Roman" w:hAnsi="Times New Roman" w:eastAsia="Times New Roman"/>
                <w:sz w:val="12"/>
              </w:rPr>
              <w:t>4.42</w:t>
            </w:r>
          </w:p>
        </w:tc>
        <w:tc>
          <w:tcPr>
            <w:tcW w:type="dxa" w:w="1450"/>
            <w:vAlign w:val="center"/>
          </w:tcPr>
          <w:p>
            <w:pPr>
              <w:spacing w:after="0" w:line="211" w:lineRule="auto"/>
              <w:jc w:val="center"/>
            </w:pPr>
            <w:r>
              <w:rPr>
                <w:rFonts w:ascii="Times New Roman" w:hAnsi="Times New Roman" w:eastAsia="Times New Roman"/>
                <w:sz w:val="12"/>
              </w:rPr>
              <w:t>0.9162</w:t>
            </w:r>
          </w:p>
        </w:tc>
        <w:tc>
          <w:tcPr>
            <w:tcW w:type="dxa" w:w="1450"/>
            <w:vAlign w:val="center"/>
          </w:tcPr>
          <w:p>
            <w:pPr>
              <w:spacing w:after="0" w:line="211" w:lineRule="auto"/>
              <w:jc w:val="center"/>
            </w:pPr>
            <w:r>
              <w:rPr>
                <w:rFonts w:ascii="Times New Roman" w:hAnsi="Times New Roman" w:eastAsia="Times New Roman"/>
                <w:sz w:val="12"/>
              </w:rPr>
              <w:t>48.98</w:t>
            </w:r>
          </w:p>
        </w:tc>
      </w:tr>
      <w:tr>
        <w:tc>
          <w:tcPr>
            <w:tcW w:type="dxa" w:w="1450"/>
            <w:vAlign w:val="center"/>
          </w:tcPr>
          <w:p>
            <w:pPr>
              <w:spacing w:after="0" w:line="211" w:lineRule="auto"/>
              <w:jc w:val="center"/>
            </w:pPr>
            <w:r>
              <w:rPr>
                <w:rFonts w:ascii="Times New Roman" w:hAnsi="Times New Roman" w:eastAsia="Times New Roman"/>
                <w:b/>
                <w:sz w:val="12"/>
              </w:rPr>
              <w:t>H5</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4.8892</w:t>
            </w:r>
          </w:p>
        </w:tc>
        <w:tc>
          <w:tcPr>
            <w:tcW w:type="dxa" w:w="1450"/>
            <w:vAlign w:val="center"/>
          </w:tcPr>
          <w:p>
            <w:pPr>
              <w:spacing w:after="0" w:line="211" w:lineRule="auto"/>
              <w:jc w:val="center"/>
            </w:pPr>
            <w:r>
              <w:rPr>
                <w:rFonts w:ascii="Times New Roman" w:hAnsi="Times New Roman" w:eastAsia="Times New Roman"/>
                <w:b/>
                <w:sz w:val="12"/>
              </w:rPr>
              <w:t>8.2562</w:t>
            </w:r>
          </w:p>
        </w:tc>
        <w:tc>
          <w:tcPr>
            <w:tcW w:type="dxa" w:w="1450"/>
            <w:vAlign w:val="center"/>
          </w:tcPr>
          <w:p>
            <w:pPr>
              <w:spacing w:after="0" w:line="211" w:lineRule="auto"/>
              <w:jc w:val="center"/>
            </w:pPr>
            <w:r>
              <w:rPr>
                <w:rFonts w:ascii="Times New Roman" w:hAnsi="Times New Roman" w:eastAsia="Times New Roman"/>
                <w:b/>
                <w:sz w:val="12"/>
              </w:rPr>
              <w:t>4.37</w:t>
            </w:r>
          </w:p>
        </w:tc>
        <w:tc>
          <w:tcPr>
            <w:tcW w:type="dxa" w:w="1450"/>
            <w:vAlign w:val="center"/>
          </w:tcPr>
          <w:p>
            <w:pPr>
              <w:spacing w:after="0" w:line="211" w:lineRule="auto"/>
              <w:jc w:val="center"/>
            </w:pPr>
            <w:r>
              <w:rPr>
                <w:rFonts w:ascii="Times New Roman" w:hAnsi="Times New Roman" w:eastAsia="Times New Roman"/>
                <w:b/>
                <w:sz w:val="12"/>
              </w:rPr>
              <w:t>0.9264</w:t>
            </w:r>
          </w:p>
        </w:tc>
        <w:tc>
          <w:tcPr>
            <w:tcW w:type="dxa" w:w="1450"/>
            <w:vAlign w:val="center"/>
          </w:tcPr>
          <w:p>
            <w:pPr>
              <w:spacing w:after="0" w:line="211" w:lineRule="auto"/>
              <w:jc w:val="center"/>
            </w:pPr>
            <w:r>
              <w:rPr>
                <w:rFonts w:ascii="Times New Roman" w:hAnsi="Times New Roman" w:eastAsia="Times New Roman"/>
                <w:b/>
                <w:sz w:val="12"/>
              </w:rPr>
              <w:t>90.95</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5.5400</w:t>
            </w:r>
          </w:p>
        </w:tc>
        <w:tc>
          <w:tcPr>
            <w:tcW w:type="dxa" w:w="1450"/>
            <w:vAlign w:val="center"/>
          </w:tcPr>
          <w:p>
            <w:pPr>
              <w:spacing w:after="0" w:line="211" w:lineRule="auto"/>
              <w:jc w:val="center"/>
            </w:pPr>
            <w:r>
              <w:rPr>
                <w:rFonts w:ascii="Times New Roman" w:hAnsi="Times New Roman" w:eastAsia="Times New Roman"/>
                <w:sz w:val="12"/>
              </w:rPr>
              <w:t>9.0953</w:t>
            </w:r>
          </w:p>
        </w:tc>
        <w:tc>
          <w:tcPr>
            <w:tcW w:type="dxa" w:w="1450"/>
            <w:vAlign w:val="center"/>
          </w:tcPr>
          <w:p>
            <w:pPr>
              <w:spacing w:after="0" w:line="211" w:lineRule="auto"/>
              <w:jc w:val="center"/>
            </w:pPr>
            <w:r>
              <w:rPr>
                <w:rFonts w:ascii="Times New Roman" w:hAnsi="Times New Roman" w:eastAsia="Times New Roman"/>
                <w:sz w:val="12"/>
              </w:rPr>
              <w:t>4.83</w:t>
            </w:r>
          </w:p>
        </w:tc>
        <w:tc>
          <w:tcPr>
            <w:tcW w:type="dxa" w:w="1450"/>
            <w:vAlign w:val="center"/>
          </w:tcPr>
          <w:p>
            <w:pPr>
              <w:spacing w:after="0" w:line="211" w:lineRule="auto"/>
              <w:jc w:val="center"/>
            </w:pPr>
            <w:r>
              <w:rPr>
                <w:rFonts w:ascii="Times New Roman" w:hAnsi="Times New Roman" w:eastAsia="Times New Roman"/>
                <w:sz w:val="12"/>
              </w:rPr>
              <w:t>0.9107</w:t>
            </w:r>
          </w:p>
        </w:tc>
        <w:tc>
          <w:tcPr>
            <w:tcW w:type="dxa" w:w="1450"/>
            <w:vAlign w:val="center"/>
          </w:tcPr>
          <w:p>
            <w:pPr>
              <w:spacing w:after="0" w:line="211" w:lineRule="auto"/>
              <w:jc w:val="center"/>
            </w:pPr>
            <w:r>
              <w:rPr>
                <w:rFonts w:ascii="Times New Roman" w:hAnsi="Times New Roman" w:eastAsia="Times New Roman"/>
                <w:sz w:val="12"/>
              </w:rPr>
              <w:t>55.05</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5.5776</w:t>
            </w:r>
          </w:p>
        </w:tc>
        <w:tc>
          <w:tcPr>
            <w:tcW w:type="dxa" w:w="1450"/>
            <w:vAlign w:val="center"/>
          </w:tcPr>
          <w:p>
            <w:pPr>
              <w:spacing w:after="0" w:line="211" w:lineRule="auto"/>
              <w:jc w:val="center"/>
            </w:pPr>
            <w:r>
              <w:rPr>
                <w:rFonts w:ascii="Times New Roman" w:hAnsi="Times New Roman" w:eastAsia="Times New Roman"/>
                <w:sz w:val="12"/>
              </w:rPr>
              <w:t>9.1791</w:t>
            </w:r>
          </w:p>
        </w:tc>
        <w:tc>
          <w:tcPr>
            <w:tcW w:type="dxa" w:w="1450"/>
            <w:vAlign w:val="center"/>
          </w:tcPr>
          <w:p>
            <w:pPr>
              <w:spacing w:after="0" w:line="211" w:lineRule="auto"/>
              <w:jc w:val="center"/>
            </w:pPr>
            <w:r>
              <w:rPr>
                <w:rFonts w:ascii="Times New Roman" w:hAnsi="Times New Roman" w:eastAsia="Times New Roman"/>
                <w:sz w:val="12"/>
              </w:rPr>
              <w:t>4.94</w:t>
            </w:r>
          </w:p>
        </w:tc>
        <w:tc>
          <w:tcPr>
            <w:tcW w:type="dxa" w:w="1450"/>
            <w:vAlign w:val="center"/>
          </w:tcPr>
          <w:p>
            <w:pPr>
              <w:spacing w:after="0" w:line="211" w:lineRule="auto"/>
              <w:jc w:val="center"/>
            </w:pPr>
            <w:r>
              <w:rPr>
                <w:rFonts w:ascii="Times New Roman" w:hAnsi="Times New Roman" w:eastAsia="Times New Roman"/>
                <w:sz w:val="12"/>
              </w:rPr>
              <w:t>0.9091</w:t>
            </w:r>
          </w:p>
        </w:tc>
        <w:tc>
          <w:tcPr>
            <w:tcW w:type="dxa" w:w="1450"/>
            <w:vAlign w:val="center"/>
          </w:tcPr>
          <w:p>
            <w:pPr>
              <w:spacing w:after="0" w:line="211" w:lineRule="auto"/>
              <w:jc w:val="center"/>
            </w:pPr>
            <w:r>
              <w:rPr>
                <w:rFonts w:ascii="Times New Roman" w:hAnsi="Times New Roman" w:eastAsia="Times New Roman"/>
                <w:sz w:val="12"/>
              </w:rPr>
              <w:t>52.53</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5.6939</w:t>
            </w:r>
          </w:p>
        </w:tc>
        <w:tc>
          <w:tcPr>
            <w:tcW w:type="dxa" w:w="1450"/>
            <w:vAlign w:val="center"/>
          </w:tcPr>
          <w:p>
            <w:pPr>
              <w:spacing w:after="0" w:line="211" w:lineRule="auto"/>
              <w:jc w:val="center"/>
            </w:pPr>
            <w:r>
              <w:rPr>
                <w:rFonts w:ascii="Times New Roman" w:hAnsi="Times New Roman" w:eastAsia="Times New Roman"/>
                <w:sz w:val="12"/>
              </w:rPr>
              <w:t>9.6105</w:t>
            </w:r>
          </w:p>
        </w:tc>
        <w:tc>
          <w:tcPr>
            <w:tcW w:type="dxa" w:w="1450"/>
            <w:vAlign w:val="center"/>
          </w:tcPr>
          <w:p>
            <w:pPr>
              <w:spacing w:after="0" w:line="211" w:lineRule="auto"/>
              <w:jc w:val="center"/>
            </w:pPr>
            <w:r>
              <w:rPr>
                <w:rFonts w:ascii="Times New Roman" w:hAnsi="Times New Roman" w:eastAsia="Times New Roman"/>
                <w:sz w:val="12"/>
              </w:rPr>
              <w:t>5.00</w:t>
            </w:r>
          </w:p>
        </w:tc>
        <w:tc>
          <w:tcPr>
            <w:tcW w:type="dxa" w:w="1450"/>
            <w:vAlign w:val="center"/>
          </w:tcPr>
          <w:p>
            <w:pPr>
              <w:spacing w:after="0" w:line="211" w:lineRule="auto"/>
              <w:jc w:val="center"/>
            </w:pPr>
            <w:r>
              <w:rPr>
                <w:rFonts w:ascii="Times New Roman" w:hAnsi="Times New Roman" w:eastAsia="Times New Roman"/>
                <w:sz w:val="12"/>
              </w:rPr>
              <w:t>0.9003</w:t>
            </w:r>
          </w:p>
        </w:tc>
        <w:tc>
          <w:tcPr>
            <w:tcW w:type="dxa" w:w="1450"/>
            <w:vAlign w:val="center"/>
          </w:tcPr>
          <w:p>
            <w:pPr>
              <w:spacing w:after="0" w:line="211" w:lineRule="auto"/>
              <w:jc w:val="center"/>
            </w:pPr>
            <w:r>
              <w:rPr>
                <w:rFonts w:ascii="Times New Roman" w:hAnsi="Times New Roman" w:eastAsia="Times New Roman"/>
                <w:sz w:val="12"/>
              </w:rPr>
              <w:t>38.89</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5.8835</w:t>
            </w:r>
          </w:p>
        </w:tc>
        <w:tc>
          <w:tcPr>
            <w:tcW w:type="dxa" w:w="1450"/>
            <w:vAlign w:val="center"/>
          </w:tcPr>
          <w:p>
            <w:pPr>
              <w:spacing w:after="0" w:line="211" w:lineRule="auto"/>
              <w:jc w:val="center"/>
            </w:pPr>
            <w:r>
              <w:rPr>
                <w:rFonts w:ascii="Times New Roman" w:hAnsi="Times New Roman" w:eastAsia="Times New Roman"/>
                <w:sz w:val="12"/>
              </w:rPr>
              <w:t>10.0733</w:t>
            </w:r>
          </w:p>
        </w:tc>
        <w:tc>
          <w:tcPr>
            <w:tcW w:type="dxa" w:w="1450"/>
            <w:vAlign w:val="center"/>
          </w:tcPr>
          <w:p>
            <w:pPr>
              <w:spacing w:after="0" w:line="211" w:lineRule="auto"/>
              <w:jc w:val="center"/>
            </w:pPr>
            <w:r>
              <w:rPr>
                <w:rFonts w:ascii="Times New Roman" w:hAnsi="Times New Roman" w:eastAsia="Times New Roman"/>
                <w:sz w:val="12"/>
              </w:rPr>
              <w:t>5.19</w:t>
            </w:r>
          </w:p>
        </w:tc>
        <w:tc>
          <w:tcPr>
            <w:tcW w:type="dxa" w:w="1450"/>
            <w:vAlign w:val="center"/>
          </w:tcPr>
          <w:p>
            <w:pPr>
              <w:spacing w:after="0" w:line="211" w:lineRule="auto"/>
              <w:jc w:val="center"/>
            </w:pPr>
            <w:r>
              <w:rPr>
                <w:rFonts w:ascii="Times New Roman" w:hAnsi="Times New Roman" w:eastAsia="Times New Roman"/>
                <w:sz w:val="12"/>
              </w:rPr>
              <w:t>0.8905</w:t>
            </w:r>
          </w:p>
        </w:tc>
        <w:tc>
          <w:tcPr>
            <w:tcW w:type="dxa" w:w="1450"/>
            <w:vAlign w:val="center"/>
          </w:tcPr>
          <w:p>
            <w:pPr>
              <w:spacing w:after="0" w:line="211" w:lineRule="auto"/>
              <w:jc w:val="center"/>
            </w:pPr>
            <w:r>
              <w:rPr>
                <w:rFonts w:ascii="Times New Roman" w:hAnsi="Times New Roman" w:eastAsia="Times New Roman"/>
                <w:sz w:val="12"/>
              </w:rPr>
              <w:t>45.45</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6.5439</w:t>
            </w:r>
          </w:p>
        </w:tc>
        <w:tc>
          <w:tcPr>
            <w:tcW w:type="dxa" w:w="1450"/>
            <w:vAlign w:val="center"/>
          </w:tcPr>
          <w:p>
            <w:pPr>
              <w:spacing w:after="0" w:line="211" w:lineRule="auto"/>
              <w:jc w:val="center"/>
            </w:pPr>
            <w:r>
              <w:rPr>
                <w:rFonts w:ascii="Times New Roman" w:hAnsi="Times New Roman" w:eastAsia="Times New Roman"/>
                <w:sz w:val="12"/>
              </w:rPr>
              <w:t>11.2085</w:t>
            </w:r>
          </w:p>
        </w:tc>
        <w:tc>
          <w:tcPr>
            <w:tcW w:type="dxa" w:w="1450"/>
            <w:vAlign w:val="center"/>
          </w:tcPr>
          <w:p>
            <w:pPr>
              <w:spacing w:after="0" w:line="211" w:lineRule="auto"/>
              <w:jc w:val="center"/>
            </w:pPr>
            <w:r>
              <w:rPr>
                <w:rFonts w:ascii="Times New Roman" w:hAnsi="Times New Roman" w:eastAsia="Times New Roman"/>
                <w:sz w:val="12"/>
              </w:rPr>
              <w:t>5.82</w:t>
            </w:r>
          </w:p>
        </w:tc>
        <w:tc>
          <w:tcPr>
            <w:tcW w:type="dxa" w:w="1450"/>
            <w:vAlign w:val="center"/>
          </w:tcPr>
          <w:p>
            <w:pPr>
              <w:spacing w:after="0" w:line="211" w:lineRule="auto"/>
              <w:jc w:val="center"/>
            </w:pPr>
            <w:r>
              <w:rPr>
                <w:rFonts w:ascii="Times New Roman" w:hAnsi="Times New Roman" w:eastAsia="Times New Roman"/>
                <w:sz w:val="12"/>
              </w:rPr>
              <w:t>0.8644</w:t>
            </w:r>
          </w:p>
        </w:tc>
        <w:tc>
          <w:tcPr>
            <w:tcW w:type="dxa" w:w="1450"/>
            <w:vAlign w:val="center"/>
          </w:tcPr>
          <w:p>
            <w:pPr>
              <w:spacing w:after="0" w:line="211" w:lineRule="auto"/>
              <w:jc w:val="center"/>
            </w:pPr>
            <w:r>
              <w:rPr>
                <w:rFonts w:ascii="Times New Roman" w:hAnsi="Times New Roman" w:eastAsia="Times New Roman"/>
                <w:sz w:val="12"/>
              </w:rPr>
              <w:t>53.54</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5.5504</w:t>
            </w:r>
          </w:p>
        </w:tc>
        <w:tc>
          <w:tcPr>
            <w:tcW w:type="dxa" w:w="1450"/>
            <w:vAlign w:val="center"/>
          </w:tcPr>
          <w:p>
            <w:pPr>
              <w:spacing w:after="0" w:line="211" w:lineRule="auto"/>
              <w:jc w:val="center"/>
            </w:pPr>
            <w:r>
              <w:rPr>
                <w:rFonts w:ascii="Times New Roman" w:hAnsi="Times New Roman" w:eastAsia="Times New Roman"/>
                <w:sz w:val="12"/>
              </w:rPr>
              <w:t>9.1791</w:t>
            </w:r>
          </w:p>
        </w:tc>
        <w:tc>
          <w:tcPr>
            <w:tcW w:type="dxa" w:w="1450"/>
            <w:vAlign w:val="center"/>
          </w:tcPr>
          <w:p>
            <w:pPr>
              <w:spacing w:after="0" w:line="211" w:lineRule="auto"/>
              <w:jc w:val="center"/>
            </w:pPr>
            <w:r>
              <w:rPr>
                <w:rFonts w:ascii="Times New Roman" w:hAnsi="Times New Roman" w:eastAsia="Times New Roman"/>
                <w:sz w:val="12"/>
              </w:rPr>
              <w:t>4.85</w:t>
            </w:r>
          </w:p>
        </w:tc>
        <w:tc>
          <w:tcPr>
            <w:tcW w:type="dxa" w:w="1450"/>
            <w:vAlign w:val="center"/>
          </w:tcPr>
          <w:p>
            <w:pPr>
              <w:spacing w:after="0" w:line="211" w:lineRule="auto"/>
              <w:jc w:val="center"/>
            </w:pPr>
            <w:r>
              <w:rPr>
                <w:rFonts w:ascii="Times New Roman" w:hAnsi="Times New Roman" w:eastAsia="Times New Roman"/>
                <w:sz w:val="12"/>
              </w:rPr>
              <w:t>0.9091</w:t>
            </w:r>
          </w:p>
        </w:tc>
        <w:tc>
          <w:tcPr>
            <w:tcW w:type="dxa" w:w="1450"/>
            <w:vAlign w:val="center"/>
          </w:tcPr>
          <w:p>
            <w:pPr>
              <w:spacing w:after="0" w:line="211" w:lineRule="auto"/>
              <w:jc w:val="center"/>
            </w:pPr>
            <w:r>
              <w:rPr>
                <w:rFonts w:ascii="Times New Roman" w:hAnsi="Times New Roman" w:eastAsia="Times New Roman"/>
                <w:sz w:val="12"/>
              </w:rPr>
              <w:t>50.00</w:t>
            </w:r>
          </w:p>
        </w:tc>
      </w:tr>
      <w:tr>
        <w:tc>
          <w:tcPr>
            <w:tcW w:type="dxa" w:w="1450"/>
            <w:vAlign w:val="center"/>
          </w:tcPr>
          <w:p>
            <w:pPr>
              <w:spacing w:after="0" w:line="211" w:lineRule="auto"/>
              <w:jc w:val="center"/>
            </w:pPr>
            <w:r>
              <w:rPr>
                <w:rFonts w:ascii="Times New Roman" w:hAnsi="Times New Roman" w:eastAsia="Times New Roman"/>
                <w:b/>
                <w:sz w:val="12"/>
              </w:rPr>
              <w:t>H7</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4.0695</w:t>
            </w:r>
          </w:p>
        </w:tc>
        <w:tc>
          <w:tcPr>
            <w:tcW w:type="dxa" w:w="1450"/>
            <w:vAlign w:val="center"/>
          </w:tcPr>
          <w:p>
            <w:pPr>
              <w:spacing w:after="0" w:line="211" w:lineRule="auto"/>
              <w:jc w:val="center"/>
            </w:pPr>
            <w:r>
              <w:rPr>
                <w:rFonts w:ascii="Times New Roman" w:hAnsi="Times New Roman" w:eastAsia="Times New Roman"/>
                <w:b/>
                <w:sz w:val="12"/>
              </w:rPr>
              <w:t>7.6785</w:t>
            </w:r>
          </w:p>
        </w:tc>
        <w:tc>
          <w:tcPr>
            <w:tcW w:type="dxa" w:w="1450"/>
            <w:vAlign w:val="center"/>
          </w:tcPr>
          <w:p>
            <w:pPr>
              <w:spacing w:after="0" w:line="211" w:lineRule="auto"/>
              <w:jc w:val="center"/>
            </w:pPr>
            <w:r>
              <w:rPr>
                <w:rFonts w:ascii="Times New Roman" w:hAnsi="Times New Roman" w:eastAsia="Times New Roman"/>
                <w:b/>
                <w:sz w:val="12"/>
              </w:rPr>
              <w:t>3.76</w:t>
            </w:r>
          </w:p>
        </w:tc>
        <w:tc>
          <w:tcPr>
            <w:tcW w:type="dxa" w:w="1450"/>
            <w:vAlign w:val="center"/>
          </w:tcPr>
          <w:p>
            <w:pPr>
              <w:spacing w:after="0" w:line="211" w:lineRule="auto"/>
              <w:jc w:val="center"/>
            </w:pPr>
            <w:r>
              <w:rPr>
                <w:rFonts w:ascii="Times New Roman" w:hAnsi="Times New Roman" w:eastAsia="Times New Roman"/>
                <w:b/>
                <w:sz w:val="12"/>
              </w:rPr>
              <w:t>0.9142</w:t>
            </w:r>
          </w:p>
        </w:tc>
        <w:tc>
          <w:tcPr>
            <w:tcW w:type="dxa" w:w="1450"/>
            <w:vAlign w:val="center"/>
          </w:tcPr>
          <w:p>
            <w:pPr>
              <w:spacing w:after="0" w:line="211" w:lineRule="auto"/>
              <w:jc w:val="center"/>
            </w:pPr>
            <w:r>
              <w:rPr>
                <w:rFonts w:ascii="Times New Roman" w:hAnsi="Times New Roman" w:eastAsia="Times New Roman"/>
                <w:b/>
                <w:sz w:val="12"/>
              </w:rPr>
              <w:t>95.56</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5.0377</w:t>
            </w:r>
          </w:p>
        </w:tc>
        <w:tc>
          <w:tcPr>
            <w:tcW w:type="dxa" w:w="1450"/>
            <w:vAlign w:val="center"/>
          </w:tcPr>
          <w:p>
            <w:pPr>
              <w:spacing w:after="0" w:line="211" w:lineRule="auto"/>
              <w:jc w:val="center"/>
            </w:pPr>
            <w:r>
              <w:rPr>
                <w:rFonts w:ascii="Times New Roman" w:hAnsi="Times New Roman" w:eastAsia="Times New Roman"/>
                <w:sz w:val="12"/>
              </w:rPr>
              <w:t>8.9709</w:t>
            </w:r>
          </w:p>
        </w:tc>
        <w:tc>
          <w:tcPr>
            <w:tcW w:type="dxa" w:w="1450"/>
            <w:vAlign w:val="center"/>
          </w:tcPr>
          <w:p>
            <w:pPr>
              <w:spacing w:after="0" w:line="211" w:lineRule="auto"/>
              <w:jc w:val="center"/>
            </w:pPr>
            <w:r>
              <w:rPr>
                <w:rFonts w:ascii="Times New Roman" w:hAnsi="Times New Roman" w:eastAsia="Times New Roman"/>
                <w:sz w:val="12"/>
              </w:rPr>
              <w:t>4.54</w:t>
            </w:r>
          </w:p>
        </w:tc>
        <w:tc>
          <w:tcPr>
            <w:tcW w:type="dxa" w:w="1450"/>
            <w:vAlign w:val="center"/>
          </w:tcPr>
          <w:p>
            <w:pPr>
              <w:spacing w:after="0" w:line="211" w:lineRule="auto"/>
              <w:jc w:val="center"/>
            </w:pPr>
            <w:r>
              <w:rPr>
                <w:rFonts w:ascii="Times New Roman" w:hAnsi="Times New Roman" w:eastAsia="Times New Roman"/>
                <w:sz w:val="12"/>
              </w:rPr>
              <w:t>0.8828</w:t>
            </w:r>
          </w:p>
        </w:tc>
        <w:tc>
          <w:tcPr>
            <w:tcW w:type="dxa" w:w="1450"/>
            <w:vAlign w:val="center"/>
          </w:tcPr>
          <w:p>
            <w:pPr>
              <w:spacing w:after="0" w:line="211" w:lineRule="auto"/>
              <w:jc w:val="center"/>
            </w:pPr>
            <w:r>
              <w:rPr>
                <w:rFonts w:ascii="Times New Roman" w:hAnsi="Times New Roman" w:eastAsia="Times New Roman"/>
                <w:sz w:val="12"/>
              </w:rPr>
              <w:t>44.18</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4.7339</w:t>
            </w:r>
          </w:p>
        </w:tc>
        <w:tc>
          <w:tcPr>
            <w:tcW w:type="dxa" w:w="1450"/>
            <w:vAlign w:val="center"/>
          </w:tcPr>
          <w:p>
            <w:pPr>
              <w:spacing w:after="0" w:line="211" w:lineRule="auto"/>
              <w:jc w:val="center"/>
            </w:pPr>
            <w:r>
              <w:rPr>
                <w:rFonts w:ascii="Times New Roman" w:hAnsi="Times New Roman" w:eastAsia="Times New Roman"/>
                <w:sz w:val="12"/>
              </w:rPr>
              <w:t>8.5689</w:t>
            </w:r>
          </w:p>
        </w:tc>
        <w:tc>
          <w:tcPr>
            <w:tcW w:type="dxa" w:w="1450"/>
            <w:vAlign w:val="center"/>
          </w:tcPr>
          <w:p>
            <w:pPr>
              <w:spacing w:after="0" w:line="211" w:lineRule="auto"/>
              <w:jc w:val="center"/>
            </w:pPr>
            <w:r>
              <w:rPr>
                <w:rFonts w:ascii="Times New Roman" w:hAnsi="Times New Roman" w:eastAsia="Times New Roman"/>
                <w:sz w:val="12"/>
              </w:rPr>
              <w:t>4.32</w:t>
            </w:r>
          </w:p>
        </w:tc>
        <w:tc>
          <w:tcPr>
            <w:tcW w:type="dxa" w:w="1450"/>
            <w:vAlign w:val="center"/>
          </w:tcPr>
          <w:p>
            <w:pPr>
              <w:spacing w:after="0" w:line="211" w:lineRule="auto"/>
              <w:jc w:val="center"/>
            </w:pPr>
            <w:r>
              <w:rPr>
                <w:rFonts w:ascii="Times New Roman" w:hAnsi="Times New Roman" w:eastAsia="Times New Roman"/>
                <w:sz w:val="12"/>
              </w:rPr>
              <w:t>0.8931</w:t>
            </w:r>
          </w:p>
        </w:tc>
        <w:tc>
          <w:tcPr>
            <w:tcW w:type="dxa" w:w="1450"/>
            <w:vAlign w:val="center"/>
          </w:tcPr>
          <w:p>
            <w:pPr>
              <w:spacing w:after="0" w:line="211" w:lineRule="auto"/>
              <w:jc w:val="center"/>
            </w:pPr>
            <w:r>
              <w:rPr>
                <w:rFonts w:ascii="Times New Roman" w:hAnsi="Times New Roman" w:eastAsia="Times New Roman"/>
                <w:sz w:val="12"/>
              </w:rPr>
              <w:t>50.34</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4.6936</w:t>
            </w:r>
          </w:p>
        </w:tc>
        <w:tc>
          <w:tcPr>
            <w:tcW w:type="dxa" w:w="1450"/>
            <w:vAlign w:val="center"/>
          </w:tcPr>
          <w:p>
            <w:pPr>
              <w:spacing w:after="0" w:line="211" w:lineRule="auto"/>
              <w:jc w:val="center"/>
            </w:pPr>
            <w:r>
              <w:rPr>
                <w:rFonts w:ascii="Times New Roman" w:hAnsi="Times New Roman" w:eastAsia="Times New Roman"/>
                <w:sz w:val="12"/>
              </w:rPr>
              <w:t>8.6611</w:t>
            </w:r>
          </w:p>
        </w:tc>
        <w:tc>
          <w:tcPr>
            <w:tcW w:type="dxa" w:w="1450"/>
            <w:vAlign w:val="center"/>
          </w:tcPr>
          <w:p>
            <w:pPr>
              <w:spacing w:after="0" w:line="211" w:lineRule="auto"/>
              <w:jc w:val="center"/>
            </w:pPr>
            <w:r>
              <w:rPr>
                <w:rFonts w:ascii="Times New Roman" w:hAnsi="Times New Roman" w:eastAsia="Times New Roman"/>
                <w:sz w:val="12"/>
              </w:rPr>
              <w:t>4.25</w:t>
            </w:r>
          </w:p>
        </w:tc>
        <w:tc>
          <w:tcPr>
            <w:tcW w:type="dxa" w:w="1450"/>
            <w:vAlign w:val="center"/>
          </w:tcPr>
          <w:p>
            <w:pPr>
              <w:spacing w:after="0" w:line="211" w:lineRule="auto"/>
              <w:jc w:val="center"/>
            </w:pPr>
            <w:r>
              <w:rPr>
                <w:rFonts w:ascii="Times New Roman" w:hAnsi="Times New Roman" w:eastAsia="Times New Roman"/>
                <w:sz w:val="12"/>
              </w:rPr>
              <w:t>0.8908</w:t>
            </w:r>
          </w:p>
        </w:tc>
        <w:tc>
          <w:tcPr>
            <w:tcW w:type="dxa" w:w="1450"/>
            <w:vAlign w:val="center"/>
          </w:tcPr>
          <w:p>
            <w:pPr>
              <w:spacing w:after="0" w:line="211" w:lineRule="auto"/>
              <w:jc w:val="center"/>
            </w:pPr>
            <w:r>
              <w:rPr>
                <w:rFonts w:ascii="Times New Roman" w:hAnsi="Times New Roman" w:eastAsia="Times New Roman"/>
                <w:sz w:val="12"/>
              </w:rPr>
              <w:t>49.66</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4.5978</w:t>
            </w:r>
          </w:p>
        </w:tc>
        <w:tc>
          <w:tcPr>
            <w:tcW w:type="dxa" w:w="1450"/>
            <w:vAlign w:val="center"/>
          </w:tcPr>
          <w:p>
            <w:pPr>
              <w:spacing w:after="0" w:line="211" w:lineRule="auto"/>
              <w:jc w:val="center"/>
            </w:pPr>
            <w:r>
              <w:rPr>
                <w:rFonts w:ascii="Times New Roman" w:hAnsi="Times New Roman" w:eastAsia="Times New Roman"/>
                <w:sz w:val="12"/>
              </w:rPr>
              <w:t>8.2653</w:t>
            </w:r>
          </w:p>
        </w:tc>
        <w:tc>
          <w:tcPr>
            <w:tcW w:type="dxa" w:w="1450"/>
            <w:vAlign w:val="center"/>
          </w:tcPr>
          <w:p>
            <w:pPr>
              <w:spacing w:after="0" w:line="211" w:lineRule="auto"/>
              <w:jc w:val="center"/>
            </w:pPr>
            <w:r>
              <w:rPr>
                <w:rFonts w:ascii="Times New Roman" w:hAnsi="Times New Roman" w:eastAsia="Times New Roman"/>
                <w:sz w:val="12"/>
              </w:rPr>
              <w:t>4.21</w:t>
            </w:r>
          </w:p>
        </w:tc>
        <w:tc>
          <w:tcPr>
            <w:tcW w:type="dxa" w:w="1450"/>
            <w:vAlign w:val="center"/>
          </w:tcPr>
          <w:p>
            <w:pPr>
              <w:spacing w:after="0" w:line="211" w:lineRule="auto"/>
              <w:jc w:val="center"/>
            </w:pPr>
            <w:r>
              <w:rPr>
                <w:rFonts w:ascii="Times New Roman" w:hAnsi="Times New Roman" w:eastAsia="Times New Roman"/>
                <w:sz w:val="12"/>
              </w:rPr>
              <w:t>0.9005</w:t>
            </w:r>
          </w:p>
        </w:tc>
        <w:tc>
          <w:tcPr>
            <w:tcW w:type="dxa" w:w="1450"/>
            <w:vAlign w:val="center"/>
          </w:tcPr>
          <w:p>
            <w:pPr>
              <w:spacing w:after="0" w:line="211" w:lineRule="auto"/>
              <w:jc w:val="center"/>
            </w:pPr>
            <w:r>
              <w:rPr>
                <w:rFonts w:ascii="Times New Roman" w:hAnsi="Times New Roman" w:eastAsia="Times New Roman"/>
                <w:sz w:val="12"/>
              </w:rPr>
              <w:t>47.26</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5.2500</w:t>
            </w:r>
          </w:p>
        </w:tc>
        <w:tc>
          <w:tcPr>
            <w:tcW w:type="dxa" w:w="1450"/>
            <w:vAlign w:val="center"/>
          </w:tcPr>
          <w:p>
            <w:pPr>
              <w:spacing w:after="0" w:line="211" w:lineRule="auto"/>
              <w:jc w:val="center"/>
            </w:pPr>
            <w:r>
              <w:rPr>
                <w:rFonts w:ascii="Times New Roman" w:hAnsi="Times New Roman" w:eastAsia="Times New Roman"/>
                <w:sz w:val="12"/>
              </w:rPr>
              <w:t>9.1154</w:t>
            </w:r>
          </w:p>
        </w:tc>
        <w:tc>
          <w:tcPr>
            <w:tcW w:type="dxa" w:w="1450"/>
            <w:vAlign w:val="center"/>
          </w:tcPr>
          <w:p>
            <w:pPr>
              <w:spacing w:after="0" w:line="211" w:lineRule="auto"/>
              <w:jc w:val="center"/>
            </w:pPr>
            <w:r>
              <w:rPr>
                <w:rFonts w:ascii="Times New Roman" w:hAnsi="Times New Roman" w:eastAsia="Times New Roman"/>
                <w:sz w:val="12"/>
              </w:rPr>
              <w:t>4.73</w:t>
            </w:r>
          </w:p>
        </w:tc>
        <w:tc>
          <w:tcPr>
            <w:tcW w:type="dxa" w:w="1450"/>
            <w:vAlign w:val="center"/>
          </w:tcPr>
          <w:p>
            <w:pPr>
              <w:spacing w:after="0" w:line="211" w:lineRule="auto"/>
              <w:jc w:val="center"/>
            </w:pPr>
            <w:r>
              <w:rPr>
                <w:rFonts w:ascii="Times New Roman" w:hAnsi="Times New Roman" w:eastAsia="Times New Roman"/>
                <w:sz w:val="12"/>
              </w:rPr>
              <w:t>0.8790</w:t>
            </w:r>
          </w:p>
        </w:tc>
        <w:tc>
          <w:tcPr>
            <w:tcW w:type="dxa" w:w="1450"/>
            <w:vAlign w:val="center"/>
          </w:tcPr>
          <w:p>
            <w:pPr>
              <w:spacing w:after="0" w:line="211" w:lineRule="auto"/>
              <w:jc w:val="center"/>
            </w:pPr>
            <w:r>
              <w:rPr>
                <w:rFonts w:ascii="Times New Roman" w:hAnsi="Times New Roman" w:eastAsia="Times New Roman"/>
                <w:sz w:val="12"/>
              </w:rPr>
              <w:t>46.92</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4.8999</w:t>
            </w:r>
          </w:p>
        </w:tc>
        <w:tc>
          <w:tcPr>
            <w:tcW w:type="dxa" w:w="1450"/>
            <w:vAlign w:val="center"/>
          </w:tcPr>
          <w:p>
            <w:pPr>
              <w:spacing w:after="0" w:line="211" w:lineRule="auto"/>
              <w:jc w:val="center"/>
            </w:pPr>
            <w:r>
              <w:rPr>
                <w:rFonts w:ascii="Times New Roman" w:hAnsi="Times New Roman" w:eastAsia="Times New Roman"/>
                <w:sz w:val="12"/>
              </w:rPr>
              <w:t>8.8162</w:t>
            </w:r>
          </w:p>
        </w:tc>
        <w:tc>
          <w:tcPr>
            <w:tcW w:type="dxa" w:w="1450"/>
            <w:vAlign w:val="center"/>
          </w:tcPr>
          <w:p>
            <w:pPr>
              <w:spacing w:after="0" w:line="211" w:lineRule="auto"/>
              <w:jc w:val="center"/>
            </w:pPr>
            <w:r>
              <w:rPr>
                <w:rFonts w:ascii="Times New Roman" w:hAnsi="Times New Roman" w:eastAsia="Times New Roman"/>
                <w:sz w:val="12"/>
              </w:rPr>
              <w:t>4.42</w:t>
            </w:r>
          </w:p>
        </w:tc>
        <w:tc>
          <w:tcPr>
            <w:tcW w:type="dxa" w:w="1450"/>
            <w:vAlign w:val="center"/>
          </w:tcPr>
          <w:p>
            <w:pPr>
              <w:spacing w:after="0" w:line="211" w:lineRule="auto"/>
              <w:jc w:val="center"/>
            </w:pPr>
            <w:r>
              <w:rPr>
                <w:rFonts w:ascii="Times New Roman" w:hAnsi="Times New Roman" w:eastAsia="Times New Roman"/>
                <w:sz w:val="12"/>
              </w:rPr>
              <w:t>0.8868</w:t>
            </w:r>
          </w:p>
        </w:tc>
        <w:tc>
          <w:tcPr>
            <w:tcW w:type="dxa" w:w="1450"/>
            <w:vAlign w:val="center"/>
          </w:tcPr>
          <w:p>
            <w:pPr>
              <w:spacing w:after="0" w:line="211" w:lineRule="auto"/>
              <w:jc w:val="center"/>
            </w:pPr>
            <w:r>
              <w:rPr>
                <w:rFonts w:ascii="Times New Roman" w:hAnsi="Times New Roman" w:eastAsia="Times New Roman"/>
                <w:sz w:val="12"/>
              </w:rPr>
              <w:t>50.34</w:t>
            </w:r>
          </w:p>
        </w:tc>
      </w:tr>
      <w:tr>
        <w:tc>
          <w:tcPr>
            <w:tcW w:type="dxa" w:w="1450"/>
            <w:vAlign w:val="center"/>
          </w:tcPr>
          <w:p>
            <w:pPr>
              <w:spacing w:after="0" w:line="211" w:lineRule="auto"/>
              <w:jc w:val="center"/>
            </w:pPr>
            <w:r>
              <w:rPr>
                <w:rFonts w:ascii="Times New Roman" w:hAnsi="Times New Roman" w:eastAsia="Times New Roman"/>
                <w:b/>
                <w:sz w:val="12"/>
              </w:rPr>
              <w:t>H10</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4.3970</w:t>
            </w:r>
          </w:p>
        </w:tc>
        <w:tc>
          <w:tcPr>
            <w:tcW w:type="dxa" w:w="1450"/>
            <w:vAlign w:val="center"/>
          </w:tcPr>
          <w:p>
            <w:pPr>
              <w:spacing w:after="0" w:line="211" w:lineRule="auto"/>
              <w:jc w:val="center"/>
            </w:pPr>
            <w:r>
              <w:rPr>
                <w:rFonts w:ascii="Times New Roman" w:hAnsi="Times New Roman" w:eastAsia="Times New Roman"/>
                <w:b/>
                <w:sz w:val="12"/>
              </w:rPr>
              <w:t>8.9788</w:t>
            </w:r>
          </w:p>
        </w:tc>
        <w:tc>
          <w:tcPr>
            <w:tcW w:type="dxa" w:w="1450"/>
            <w:vAlign w:val="center"/>
          </w:tcPr>
          <w:p>
            <w:pPr>
              <w:spacing w:after="0" w:line="211" w:lineRule="auto"/>
              <w:jc w:val="center"/>
            </w:pPr>
            <w:r>
              <w:rPr>
                <w:rFonts w:ascii="Times New Roman" w:hAnsi="Times New Roman" w:eastAsia="Times New Roman"/>
                <w:b/>
                <w:sz w:val="12"/>
              </w:rPr>
              <w:t>4.09</w:t>
            </w:r>
          </w:p>
        </w:tc>
        <w:tc>
          <w:tcPr>
            <w:tcW w:type="dxa" w:w="1450"/>
            <w:vAlign w:val="center"/>
          </w:tcPr>
          <w:p>
            <w:pPr>
              <w:spacing w:after="0" w:line="211" w:lineRule="auto"/>
              <w:jc w:val="center"/>
            </w:pPr>
            <w:r>
              <w:rPr>
                <w:rFonts w:ascii="Times New Roman" w:hAnsi="Times New Roman" w:eastAsia="Times New Roman"/>
                <w:b/>
                <w:sz w:val="12"/>
              </w:rPr>
              <w:t>0.8522</w:t>
            </w:r>
          </w:p>
        </w:tc>
        <w:tc>
          <w:tcPr>
            <w:tcW w:type="dxa" w:w="1450"/>
            <w:vAlign w:val="center"/>
          </w:tcPr>
          <w:p>
            <w:pPr>
              <w:spacing w:after="0" w:line="211" w:lineRule="auto"/>
              <w:jc w:val="center"/>
            </w:pPr>
            <w:r>
              <w:rPr>
                <w:rFonts w:ascii="Times New Roman" w:hAnsi="Times New Roman" w:eastAsia="Times New Roman"/>
                <w:b/>
                <w:sz w:val="12"/>
              </w:rPr>
              <w:t>42.24</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4.8548</w:t>
            </w:r>
          </w:p>
        </w:tc>
        <w:tc>
          <w:tcPr>
            <w:tcW w:type="dxa" w:w="1450"/>
            <w:vAlign w:val="center"/>
          </w:tcPr>
          <w:p>
            <w:pPr>
              <w:spacing w:after="0" w:line="211" w:lineRule="auto"/>
              <w:jc w:val="center"/>
            </w:pPr>
            <w:r>
              <w:rPr>
                <w:rFonts w:ascii="Times New Roman" w:hAnsi="Times New Roman" w:eastAsia="Times New Roman"/>
                <w:sz w:val="12"/>
              </w:rPr>
              <w:t>9.8175</w:t>
            </w:r>
          </w:p>
        </w:tc>
        <w:tc>
          <w:tcPr>
            <w:tcW w:type="dxa" w:w="1450"/>
            <w:vAlign w:val="center"/>
          </w:tcPr>
          <w:p>
            <w:pPr>
              <w:spacing w:after="0" w:line="211" w:lineRule="auto"/>
              <w:jc w:val="center"/>
            </w:pPr>
            <w:r>
              <w:rPr>
                <w:rFonts w:ascii="Times New Roman" w:hAnsi="Times New Roman" w:eastAsia="Times New Roman"/>
                <w:sz w:val="12"/>
              </w:rPr>
              <w:t>4.48</w:t>
            </w:r>
          </w:p>
        </w:tc>
        <w:tc>
          <w:tcPr>
            <w:tcW w:type="dxa" w:w="1450"/>
            <w:vAlign w:val="center"/>
          </w:tcPr>
          <w:p>
            <w:pPr>
              <w:spacing w:after="0" w:line="211" w:lineRule="auto"/>
              <w:jc w:val="center"/>
            </w:pPr>
            <w:r>
              <w:rPr>
                <w:rFonts w:ascii="Times New Roman" w:hAnsi="Times New Roman" w:eastAsia="Times New Roman"/>
                <w:sz w:val="12"/>
              </w:rPr>
              <w:t>0.8250</w:t>
            </w:r>
          </w:p>
        </w:tc>
        <w:tc>
          <w:tcPr>
            <w:tcW w:type="dxa" w:w="1450"/>
            <w:vAlign w:val="center"/>
          </w:tcPr>
          <w:p>
            <w:pPr>
              <w:spacing w:after="0" w:line="211" w:lineRule="auto"/>
              <w:jc w:val="center"/>
            </w:pPr>
            <w:r>
              <w:rPr>
                <w:rFonts w:ascii="Times New Roman" w:hAnsi="Times New Roman" w:eastAsia="Times New Roman"/>
                <w:sz w:val="12"/>
              </w:rPr>
              <w:t>48.59</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4.9325</w:t>
            </w:r>
          </w:p>
        </w:tc>
        <w:tc>
          <w:tcPr>
            <w:tcW w:type="dxa" w:w="1450"/>
            <w:vAlign w:val="center"/>
          </w:tcPr>
          <w:p>
            <w:pPr>
              <w:spacing w:after="0" w:line="211" w:lineRule="auto"/>
              <w:jc w:val="center"/>
            </w:pPr>
            <w:r>
              <w:rPr>
                <w:rFonts w:ascii="Times New Roman" w:hAnsi="Times New Roman" w:eastAsia="Times New Roman"/>
                <w:sz w:val="12"/>
              </w:rPr>
              <w:t>9.9338</w:t>
            </w:r>
          </w:p>
        </w:tc>
        <w:tc>
          <w:tcPr>
            <w:tcW w:type="dxa" w:w="1450"/>
            <w:vAlign w:val="center"/>
          </w:tcPr>
          <w:p>
            <w:pPr>
              <w:spacing w:after="0" w:line="211" w:lineRule="auto"/>
              <w:jc w:val="center"/>
            </w:pPr>
            <w:r>
              <w:rPr>
                <w:rFonts w:ascii="Times New Roman" w:hAnsi="Times New Roman" w:eastAsia="Times New Roman"/>
                <w:sz w:val="12"/>
              </w:rPr>
              <w:t>4.53</w:t>
            </w:r>
          </w:p>
        </w:tc>
        <w:tc>
          <w:tcPr>
            <w:tcW w:type="dxa" w:w="1450"/>
            <w:vAlign w:val="center"/>
          </w:tcPr>
          <w:p>
            <w:pPr>
              <w:spacing w:after="0" w:line="211" w:lineRule="auto"/>
              <w:jc w:val="center"/>
            </w:pPr>
            <w:r>
              <w:rPr>
                <w:rFonts w:ascii="Times New Roman" w:hAnsi="Times New Roman" w:eastAsia="Times New Roman"/>
                <w:sz w:val="12"/>
              </w:rPr>
              <w:t>0.8208</w:t>
            </w:r>
          </w:p>
        </w:tc>
        <w:tc>
          <w:tcPr>
            <w:tcW w:type="dxa" w:w="1450"/>
            <w:vAlign w:val="center"/>
          </w:tcPr>
          <w:p>
            <w:pPr>
              <w:spacing w:after="0" w:line="211" w:lineRule="auto"/>
              <w:jc w:val="center"/>
            </w:pPr>
            <w:r>
              <w:rPr>
                <w:rFonts w:ascii="Times New Roman" w:hAnsi="Times New Roman" w:eastAsia="Times New Roman"/>
                <w:sz w:val="12"/>
              </w:rPr>
              <w:t>49.87</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5.1042</w:t>
            </w:r>
          </w:p>
        </w:tc>
        <w:tc>
          <w:tcPr>
            <w:tcW w:type="dxa" w:w="1450"/>
            <w:vAlign w:val="center"/>
          </w:tcPr>
          <w:p>
            <w:pPr>
              <w:spacing w:after="0" w:line="211" w:lineRule="auto"/>
              <w:jc w:val="center"/>
            </w:pPr>
            <w:r>
              <w:rPr>
                <w:rFonts w:ascii="Times New Roman" w:hAnsi="Times New Roman" w:eastAsia="Times New Roman"/>
                <w:sz w:val="12"/>
              </w:rPr>
              <w:t>10.1940</w:t>
            </w:r>
          </w:p>
        </w:tc>
        <w:tc>
          <w:tcPr>
            <w:tcW w:type="dxa" w:w="1450"/>
            <w:vAlign w:val="center"/>
          </w:tcPr>
          <w:p>
            <w:pPr>
              <w:spacing w:after="0" w:line="211" w:lineRule="auto"/>
              <w:jc w:val="center"/>
            </w:pPr>
            <w:r>
              <w:rPr>
                <w:rFonts w:ascii="Times New Roman" w:hAnsi="Times New Roman" w:eastAsia="Times New Roman"/>
                <w:sz w:val="12"/>
              </w:rPr>
              <w:t>4.68</w:t>
            </w:r>
          </w:p>
        </w:tc>
        <w:tc>
          <w:tcPr>
            <w:tcW w:type="dxa" w:w="1450"/>
            <w:vAlign w:val="center"/>
          </w:tcPr>
          <w:p>
            <w:pPr>
              <w:spacing w:after="0" w:line="211" w:lineRule="auto"/>
              <w:jc w:val="center"/>
            </w:pPr>
            <w:r>
              <w:rPr>
                <w:rFonts w:ascii="Times New Roman" w:hAnsi="Times New Roman" w:eastAsia="Times New Roman"/>
                <w:sz w:val="12"/>
              </w:rPr>
              <w:t>0.8113</w:t>
            </w:r>
          </w:p>
        </w:tc>
        <w:tc>
          <w:tcPr>
            <w:tcW w:type="dxa" w:w="1450"/>
            <w:vAlign w:val="center"/>
          </w:tcPr>
          <w:p>
            <w:pPr>
              <w:spacing w:after="0" w:line="211" w:lineRule="auto"/>
              <w:jc w:val="center"/>
            </w:pPr>
            <w:r>
              <w:rPr>
                <w:rFonts w:ascii="Times New Roman" w:hAnsi="Times New Roman" w:eastAsia="Times New Roman"/>
                <w:sz w:val="12"/>
              </w:rPr>
              <w:t>50.13</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4.9854</w:t>
            </w:r>
          </w:p>
        </w:tc>
        <w:tc>
          <w:tcPr>
            <w:tcW w:type="dxa" w:w="1450"/>
            <w:vAlign w:val="center"/>
          </w:tcPr>
          <w:p>
            <w:pPr>
              <w:spacing w:after="0" w:line="211" w:lineRule="auto"/>
              <w:jc w:val="center"/>
            </w:pPr>
            <w:r>
              <w:rPr>
                <w:rFonts w:ascii="Times New Roman" w:hAnsi="Times New Roman" w:eastAsia="Times New Roman"/>
                <w:sz w:val="12"/>
              </w:rPr>
              <w:t>9.9668</w:t>
            </w:r>
          </w:p>
        </w:tc>
        <w:tc>
          <w:tcPr>
            <w:tcW w:type="dxa" w:w="1450"/>
            <w:vAlign w:val="center"/>
          </w:tcPr>
          <w:p>
            <w:pPr>
              <w:spacing w:after="0" w:line="211" w:lineRule="auto"/>
              <w:jc w:val="center"/>
            </w:pPr>
            <w:r>
              <w:rPr>
                <w:rFonts w:ascii="Times New Roman" w:hAnsi="Times New Roman" w:eastAsia="Times New Roman"/>
                <w:sz w:val="12"/>
              </w:rPr>
              <w:t>4.61</w:t>
            </w:r>
          </w:p>
        </w:tc>
        <w:tc>
          <w:tcPr>
            <w:tcW w:type="dxa" w:w="1450"/>
            <w:vAlign w:val="center"/>
          </w:tcPr>
          <w:p>
            <w:pPr>
              <w:spacing w:after="0" w:line="211" w:lineRule="auto"/>
              <w:jc w:val="center"/>
            </w:pPr>
            <w:r>
              <w:rPr>
                <w:rFonts w:ascii="Times New Roman" w:hAnsi="Times New Roman" w:eastAsia="Times New Roman"/>
                <w:sz w:val="12"/>
              </w:rPr>
              <w:t>0.8196</w:t>
            </w:r>
          </w:p>
        </w:tc>
        <w:tc>
          <w:tcPr>
            <w:tcW w:type="dxa" w:w="1450"/>
            <w:vAlign w:val="center"/>
          </w:tcPr>
          <w:p>
            <w:pPr>
              <w:spacing w:after="0" w:line="211" w:lineRule="auto"/>
              <w:jc w:val="center"/>
            </w:pPr>
            <w:r>
              <w:rPr>
                <w:rFonts w:ascii="Times New Roman" w:hAnsi="Times New Roman" w:eastAsia="Times New Roman"/>
                <w:sz w:val="12"/>
              </w:rPr>
              <w:t>44.60</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5.0603</w:t>
            </w:r>
          </w:p>
        </w:tc>
        <w:tc>
          <w:tcPr>
            <w:tcW w:type="dxa" w:w="1450"/>
            <w:vAlign w:val="center"/>
          </w:tcPr>
          <w:p>
            <w:pPr>
              <w:spacing w:after="0" w:line="211" w:lineRule="auto"/>
              <w:jc w:val="center"/>
            </w:pPr>
            <w:r>
              <w:rPr>
                <w:rFonts w:ascii="Times New Roman" w:hAnsi="Times New Roman" w:eastAsia="Times New Roman"/>
                <w:sz w:val="12"/>
              </w:rPr>
              <w:t>10.1585</w:t>
            </w:r>
          </w:p>
        </w:tc>
        <w:tc>
          <w:tcPr>
            <w:tcW w:type="dxa" w:w="1450"/>
            <w:vAlign w:val="center"/>
          </w:tcPr>
          <w:p>
            <w:pPr>
              <w:spacing w:after="0" w:line="211" w:lineRule="auto"/>
              <w:jc w:val="center"/>
            </w:pPr>
            <w:r>
              <w:rPr>
                <w:rFonts w:ascii="Times New Roman" w:hAnsi="Times New Roman" w:eastAsia="Times New Roman"/>
                <w:sz w:val="12"/>
              </w:rPr>
              <w:t>4.63</w:t>
            </w:r>
          </w:p>
        </w:tc>
        <w:tc>
          <w:tcPr>
            <w:tcW w:type="dxa" w:w="1450"/>
            <w:vAlign w:val="center"/>
          </w:tcPr>
          <w:p>
            <w:pPr>
              <w:spacing w:after="0" w:line="211" w:lineRule="auto"/>
              <w:jc w:val="center"/>
            </w:pPr>
            <w:r>
              <w:rPr>
                <w:rFonts w:ascii="Times New Roman" w:hAnsi="Times New Roman" w:eastAsia="Times New Roman"/>
                <w:sz w:val="12"/>
              </w:rPr>
              <w:t>0.8126</w:t>
            </w:r>
          </w:p>
        </w:tc>
        <w:tc>
          <w:tcPr>
            <w:tcW w:type="dxa" w:w="1450"/>
            <w:vAlign w:val="center"/>
          </w:tcPr>
          <w:p>
            <w:pPr>
              <w:spacing w:after="0" w:line="211" w:lineRule="auto"/>
              <w:jc w:val="center"/>
            </w:pPr>
            <w:r>
              <w:rPr>
                <w:rFonts w:ascii="Times New Roman" w:hAnsi="Times New Roman" w:eastAsia="Times New Roman"/>
                <w:sz w:val="12"/>
              </w:rPr>
              <w:t>48.97</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4.9070</w:t>
            </w:r>
          </w:p>
        </w:tc>
        <w:tc>
          <w:tcPr>
            <w:tcW w:type="dxa" w:w="1450"/>
            <w:vAlign w:val="center"/>
          </w:tcPr>
          <w:p>
            <w:pPr>
              <w:spacing w:after="0" w:line="211" w:lineRule="auto"/>
              <w:jc w:val="center"/>
            </w:pPr>
            <w:r>
              <w:rPr>
                <w:rFonts w:ascii="Times New Roman" w:hAnsi="Times New Roman" w:eastAsia="Times New Roman"/>
                <w:sz w:val="12"/>
              </w:rPr>
              <w:t>9.9822</w:t>
            </w:r>
          </w:p>
        </w:tc>
        <w:tc>
          <w:tcPr>
            <w:tcW w:type="dxa" w:w="1450"/>
            <w:vAlign w:val="center"/>
          </w:tcPr>
          <w:p>
            <w:pPr>
              <w:spacing w:after="0" w:line="211" w:lineRule="auto"/>
              <w:jc w:val="center"/>
            </w:pPr>
            <w:r>
              <w:rPr>
                <w:rFonts w:ascii="Times New Roman" w:hAnsi="Times New Roman" w:eastAsia="Times New Roman"/>
                <w:sz w:val="12"/>
              </w:rPr>
              <w:t>4.49</w:t>
            </w:r>
          </w:p>
        </w:tc>
        <w:tc>
          <w:tcPr>
            <w:tcW w:type="dxa" w:w="1450"/>
            <w:vAlign w:val="center"/>
          </w:tcPr>
          <w:p>
            <w:pPr>
              <w:spacing w:after="0" w:line="211" w:lineRule="auto"/>
              <w:jc w:val="center"/>
            </w:pPr>
            <w:r>
              <w:rPr>
                <w:rFonts w:ascii="Times New Roman" w:hAnsi="Times New Roman" w:eastAsia="Times New Roman"/>
                <w:sz w:val="12"/>
              </w:rPr>
              <w:t>0.8191</w:t>
            </w:r>
          </w:p>
        </w:tc>
        <w:tc>
          <w:tcPr>
            <w:tcW w:type="dxa" w:w="1450"/>
            <w:vAlign w:val="center"/>
          </w:tcPr>
          <w:p>
            <w:pPr>
              <w:spacing w:after="0" w:line="211" w:lineRule="auto"/>
              <w:jc w:val="center"/>
            </w:pPr>
            <w:r>
              <w:rPr>
                <w:rFonts w:ascii="Times New Roman" w:hAnsi="Times New Roman" w:eastAsia="Times New Roman"/>
                <w:sz w:val="12"/>
              </w:rPr>
              <w:t>52.57</w:t>
            </w:r>
          </w:p>
        </w:tc>
      </w:tr>
      <w:tr>
        <w:tc>
          <w:tcPr>
            <w:tcW w:type="dxa" w:w="1450"/>
            <w:vAlign w:val="center"/>
          </w:tcPr>
          <w:p>
            <w:pPr>
              <w:spacing w:after="0" w:line="211" w:lineRule="auto"/>
              <w:jc w:val="center"/>
            </w:pPr>
            <w:r>
              <w:rPr>
                <w:rFonts w:ascii="Times New Roman" w:hAnsi="Times New Roman" w:eastAsia="Times New Roman"/>
                <w:b/>
                <w:sz w:val="12"/>
              </w:rPr>
              <w:t>H20</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5.4115</w:t>
            </w:r>
          </w:p>
        </w:tc>
        <w:tc>
          <w:tcPr>
            <w:tcW w:type="dxa" w:w="1450"/>
            <w:vAlign w:val="center"/>
          </w:tcPr>
          <w:p>
            <w:pPr>
              <w:spacing w:after="0" w:line="211" w:lineRule="auto"/>
              <w:jc w:val="center"/>
            </w:pPr>
            <w:r>
              <w:rPr>
                <w:rFonts w:ascii="Times New Roman" w:hAnsi="Times New Roman" w:eastAsia="Times New Roman"/>
                <w:b/>
                <w:sz w:val="12"/>
              </w:rPr>
              <w:t>10.3617</w:t>
            </w:r>
          </w:p>
        </w:tc>
        <w:tc>
          <w:tcPr>
            <w:tcW w:type="dxa" w:w="1450"/>
            <w:vAlign w:val="center"/>
          </w:tcPr>
          <w:p>
            <w:pPr>
              <w:spacing w:after="0" w:line="211" w:lineRule="auto"/>
              <w:jc w:val="center"/>
            </w:pPr>
            <w:r>
              <w:rPr>
                <w:rFonts w:ascii="Times New Roman" w:hAnsi="Times New Roman" w:eastAsia="Times New Roman"/>
                <w:b/>
                <w:sz w:val="12"/>
              </w:rPr>
              <w:t>5.37</w:t>
            </w:r>
          </w:p>
        </w:tc>
        <w:tc>
          <w:tcPr>
            <w:tcW w:type="dxa" w:w="1450"/>
            <w:vAlign w:val="center"/>
          </w:tcPr>
          <w:p>
            <w:pPr>
              <w:spacing w:after="0" w:line="211" w:lineRule="auto"/>
              <w:jc w:val="center"/>
            </w:pPr>
            <w:r>
              <w:rPr>
                <w:rFonts w:ascii="Times New Roman" w:hAnsi="Times New Roman" w:eastAsia="Times New Roman"/>
                <w:b/>
                <w:sz w:val="12"/>
              </w:rPr>
              <w:t>0.7262</w:t>
            </w:r>
          </w:p>
        </w:tc>
        <w:tc>
          <w:tcPr>
            <w:tcW w:type="dxa" w:w="1450"/>
            <w:vAlign w:val="center"/>
          </w:tcPr>
          <w:p>
            <w:pPr>
              <w:spacing w:after="0" w:line="211" w:lineRule="auto"/>
              <w:jc w:val="center"/>
            </w:pPr>
            <w:r>
              <w:rPr>
                <w:rFonts w:ascii="Times New Roman" w:hAnsi="Times New Roman" w:eastAsia="Times New Roman"/>
                <w:b/>
                <w:sz w:val="12"/>
              </w:rPr>
              <w:t>91.65</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5.8312</w:t>
            </w:r>
          </w:p>
        </w:tc>
        <w:tc>
          <w:tcPr>
            <w:tcW w:type="dxa" w:w="1450"/>
            <w:vAlign w:val="center"/>
          </w:tcPr>
          <w:p>
            <w:pPr>
              <w:spacing w:after="0" w:line="211" w:lineRule="auto"/>
              <w:jc w:val="center"/>
            </w:pPr>
            <w:r>
              <w:rPr>
                <w:rFonts w:ascii="Times New Roman" w:hAnsi="Times New Roman" w:eastAsia="Times New Roman"/>
                <w:sz w:val="12"/>
              </w:rPr>
              <w:t>11.0895</w:t>
            </w:r>
          </w:p>
        </w:tc>
        <w:tc>
          <w:tcPr>
            <w:tcW w:type="dxa" w:w="1450"/>
            <w:vAlign w:val="center"/>
          </w:tcPr>
          <w:p>
            <w:pPr>
              <w:spacing w:after="0" w:line="211" w:lineRule="auto"/>
              <w:jc w:val="center"/>
            </w:pPr>
            <w:r>
              <w:rPr>
                <w:rFonts w:ascii="Times New Roman" w:hAnsi="Times New Roman" w:eastAsia="Times New Roman"/>
                <w:sz w:val="12"/>
              </w:rPr>
              <w:t>5.68</w:t>
            </w:r>
          </w:p>
        </w:tc>
        <w:tc>
          <w:tcPr>
            <w:tcW w:type="dxa" w:w="1450"/>
            <w:vAlign w:val="center"/>
          </w:tcPr>
          <w:p>
            <w:pPr>
              <w:spacing w:after="0" w:line="211" w:lineRule="auto"/>
              <w:jc w:val="center"/>
            </w:pPr>
            <w:r>
              <w:rPr>
                <w:rFonts w:ascii="Times New Roman" w:hAnsi="Times New Roman" w:eastAsia="Times New Roman"/>
                <w:sz w:val="12"/>
              </w:rPr>
              <w:t>0.6965</w:t>
            </w:r>
          </w:p>
        </w:tc>
        <w:tc>
          <w:tcPr>
            <w:tcW w:type="dxa" w:w="1450"/>
            <w:vAlign w:val="center"/>
          </w:tcPr>
          <w:p>
            <w:pPr>
              <w:spacing w:after="0" w:line="211" w:lineRule="auto"/>
              <w:jc w:val="center"/>
            </w:pPr>
            <w:r>
              <w:rPr>
                <w:rFonts w:ascii="Times New Roman" w:hAnsi="Times New Roman" w:eastAsia="Times New Roman"/>
                <w:sz w:val="12"/>
              </w:rPr>
              <w:t>48.66</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6.1280</w:t>
            </w:r>
          </w:p>
        </w:tc>
        <w:tc>
          <w:tcPr>
            <w:tcW w:type="dxa" w:w="1450"/>
            <w:vAlign w:val="center"/>
          </w:tcPr>
          <w:p>
            <w:pPr>
              <w:spacing w:after="0" w:line="211" w:lineRule="auto"/>
              <w:jc w:val="center"/>
            </w:pPr>
            <w:r>
              <w:rPr>
                <w:rFonts w:ascii="Times New Roman" w:hAnsi="Times New Roman" w:eastAsia="Times New Roman"/>
                <w:sz w:val="12"/>
              </w:rPr>
              <w:t>11.4250</w:t>
            </w:r>
          </w:p>
        </w:tc>
        <w:tc>
          <w:tcPr>
            <w:tcW w:type="dxa" w:w="1450"/>
            <w:vAlign w:val="center"/>
          </w:tcPr>
          <w:p>
            <w:pPr>
              <w:spacing w:after="0" w:line="211" w:lineRule="auto"/>
              <w:jc w:val="center"/>
            </w:pPr>
            <w:r>
              <w:rPr>
                <w:rFonts w:ascii="Times New Roman" w:hAnsi="Times New Roman" w:eastAsia="Times New Roman"/>
                <w:sz w:val="12"/>
              </w:rPr>
              <w:t>5.99</w:t>
            </w:r>
          </w:p>
        </w:tc>
        <w:tc>
          <w:tcPr>
            <w:tcW w:type="dxa" w:w="1450"/>
            <w:vAlign w:val="center"/>
          </w:tcPr>
          <w:p>
            <w:pPr>
              <w:spacing w:after="0" w:line="211" w:lineRule="auto"/>
              <w:jc w:val="center"/>
            </w:pPr>
            <w:r>
              <w:rPr>
                <w:rFonts w:ascii="Times New Roman" w:hAnsi="Times New Roman" w:eastAsia="Times New Roman"/>
                <w:sz w:val="12"/>
              </w:rPr>
              <w:t>0.6779</w:t>
            </w:r>
          </w:p>
        </w:tc>
        <w:tc>
          <w:tcPr>
            <w:tcW w:type="dxa" w:w="1450"/>
            <w:vAlign w:val="center"/>
          </w:tcPr>
          <w:p>
            <w:pPr>
              <w:spacing w:after="0" w:line="211" w:lineRule="auto"/>
              <w:jc w:val="center"/>
            </w:pPr>
            <w:r>
              <w:rPr>
                <w:rFonts w:ascii="Times New Roman" w:hAnsi="Times New Roman" w:eastAsia="Times New Roman"/>
                <w:sz w:val="12"/>
              </w:rPr>
              <w:t>44.15</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7.1888</w:t>
            </w:r>
          </w:p>
        </w:tc>
        <w:tc>
          <w:tcPr>
            <w:tcW w:type="dxa" w:w="1450"/>
            <w:vAlign w:val="center"/>
          </w:tcPr>
          <w:p>
            <w:pPr>
              <w:spacing w:after="0" w:line="211" w:lineRule="auto"/>
              <w:jc w:val="center"/>
            </w:pPr>
            <w:r>
              <w:rPr>
                <w:rFonts w:ascii="Times New Roman" w:hAnsi="Times New Roman" w:eastAsia="Times New Roman"/>
                <w:sz w:val="12"/>
              </w:rPr>
              <w:t>12.6175</w:t>
            </w:r>
          </w:p>
        </w:tc>
        <w:tc>
          <w:tcPr>
            <w:tcW w:type="dxa" w:w="1450"/>
            <w:vAlign w:val="center"/>
          </w:tcPr>
          <w:p>
            <w:pPr>
              <w:spacing w:after="0" w:line="211" w:lineRule="auto"/>
              <w:jc w:val="center"/>
            </w:pPr>
            <w:r>
              <w:rPr>
                <w:rFonts w:ascii="Times New Roman" w:hAnsi="Times New Roman" w:eastAsia="Times New Roman"/>
                <w:sz w:val="12"/>
              </w:rPr>
              <w:t>7.05</w:t>
            </w:r>
          </w:p>
        </w:tc>
        <w:tc>
          <w:tcPr>
            <w:tcW w:type="dxa" w:w="1450"/>
            <w:vAlign w:val="center"/>
          </w:tcPr>
          <w:p>
            <w:pPr>
              <w:spacing w:after="0" w:line="211" w:lineRule="auto"/>
              <w:jc w:val="center"/>
            </w:pPr>
            <w:r>
              <w:rPr>
                <w:rFonts w:ascii="Times New Roman" w:hAnsi="Times New Roman" w:eastAsia="Times New Roman"/>
                <w:sz w:val="12"/>
              </w:rPr>
              <w:t>0.6072</w:t>
            </w:r>
          </w:p>
        </w:tc>
        <w:tc>
          <w:tcPr>
            <w:tcW w:type="dxa" w:w="1450"/>
            <w:vAlign w:val="center"/>
          </w:tcPr>
          <w:p>
            <w:pPr>
              <w:spacing w:after="0" w:line="211" w:lineRule="auto"/>
              <w:jc w:val="center"/>
            </w:pPr>
            <w:r>
              <w:rPr>
                <w:rFonts w:ascii="Times New Roman" w:hAnsi="Times New Roman" w:eastAsia="Times New Roman"/>
                <w:sz w:val="12"/>
              </w:rPr>
              <w:t>46.49</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6.5672</w:t>
            </w:r>
          </w:p>
        </w:tc>
        <w:tc>
          <w:tcPr>
            <w:tcW w:type="dxa" w:w="1450"/>
            <w:vAlign w:val="center"/>
          </w:tcPr>
          <w:p>
            <w:pPr>
              <w:spacing w:after="0" w:line="211" w:lineRule="auto"/>
              <w:jc w:val="center"/>
            </w:pPr>
            <w:r>
              <w:rPr>
                <w:rFonts w:ascii="Times New Roman" w:hAnsi="Times New Roman" w:eastAsia="Times New Roman"/>
                <w:sz w:val="12"/>
              </w:rPr>
              <w:t>12.5417</w:t>
            </w:r>
          </w:p>
        </w:tc>
        <w:tc>
          <w:tcPr>
            <w:tcW w:type="dxa" w:w="1450"/>
            <w:vAlign w:val="center"/>
          </w:tcPr>
          <w:p>
            <w:pPr>
              <w:spacing w:after="0" w:line="211" w:lineRule="auto"/>
              <w:jc w:val="center"/>
            </w:pPr>
            <w:r>
              <w:rPr>
                <w:rFonts w:ascii="Times New Roman" w:hAnsi="Times New Roman" w:eastAsia="Times New Roman"/>
                <w:sz w:val="12"/>
              </w:rPr>
              <w:t>6.24</w:t>
            </w:r>
          </w:p>
        </w:tc>
        <w:tc>
          <w:tcPr>
            <w:tcW w:type="dxa" w:w="1450"/>
            <w:vAlign w:val="center"/>
          </w:tcPr>
          <w:p>
            <w:pPr>
              <w:spacing w:after="0" w:line="211" w:lineRule="auto"/>
              <w:jc w:val="center"/>
            </w:pPr>
            <w:r>
              <w:rPr>
                <w:rFonts w:ascii="Times New Roman" w:hAnsi="Times New Roman" w:eastAsia="Times New Roman"/>
                <w:sz w:val="12"/>
              </w:rPr>
              <w:t>0.6119</w:t>
            </w:r>
          </w:p>
        </w:tc>
        <w:tc>
          <w:tcPr>
            <w:tcW w:type="dxa" w:w="1450"/>
            <w:vAlign w:val="center"/>
          </w:tcPr>
          <w:p>
            <w:pPr>
              <w:spacing w:after="0" w:line="211" w:lineRule="auto"/>
              <w:jc w:val="center"/>
            </w:pPr>
            <w:r>
              <w:rPr>
                <w:rFonts w:ascii="Times New Roman" w:hAnsi="Times New Roman" w:eastAsia="Times New Roman"/>
                <w:sz w:val="12"/>
              </w:rPr>
              <w:t>48.66</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6.6974</w:t>
            </w:r>
          </w:p>
        </w:tc>
        <w:tc>
          <w:tcPr>
            <w:tcW w:type="dxa" w:w="1450"/>
            <w:vAlign w:val="center"/>
          </w:tcPr>
          <w:p>
            <w:pPr>
              <w:spacing w:after="0" w:line="211" w:lineRule="auto"/>
              <w:jc w:val="center"/>
            </w:pPr>
            <w:r>
              <w:rPr>
                <w:rFonts w:ascii="Times New Roman" w:hAnsi="Times New Roman" w:eastAsia="Times New Roman"/>
                <w:sz w:val="12"/>
              </w:rPr>
              <w:t>12.1714</w:t>
            </w:r>
          </w:p>
        </w:tc>
        <w:tc>
          <w:tcPr>
            <w:tcW w:type="dxa" w:w="1450"/>
            <w:vAlign w:val="center"/>
          </w:tcPr>
          <w:p>
            <w:pPr>
              <w:spacing w:after="0" w:line="211" w:lineRule="auto"/>
              <w:jc w:val="center"/>
            </w:pPr>
            <w:r>
              <w:rPr>
                <w:rFonts w:ascii="Times New Roman" w:hAnsi="Times New Roman" w:eastAsia="Times New Roman"/>
                <w:sz w:val="12"/>
              </w:rPr>
              <w:t>6.43</w:t>
            </w:r>
          </w:p>
        </w:tc>
        <w:tc>
          <w:tcPr>
            <w:tcW w:type="dxa" w:w="1450"/>
            <w:vAlign w:val="center"/>
          </w:tcPr>
          <w:p>
            <w:pPr>
              <w:spacing w:after="0" w:line="211" w:lineRule="auto"/>
              <w:jc w:val="center"/>
            </w:pPr>
            <w:r>
              <w:rPr>
                <w:rFonts w:ascii="Times New Roman" w:hAnsi="Times New Roman" w:eastAsia="Times New Roman"/>
                <w:sz w:val="12"/>
              </w:rPr>
              <w:t>0.6344</w:t>
            </w:r>
          </w:p>
        </w:tc>
        <w:tc>
          <w:tcPr>
            <w:tcW w:type="dxa" w:w="1450"/>
            <w:vAlign w:val="center"/>
          </w:tcPr>
          <w:p>
            <w:pPr>
              <w:spacing w:after="0" w:line="211" w:lineRule="auto"/>
              <w:jc w:val="center"/>
            </w:pPr>
            <w:r>
              <w:rPr>
                <w:rFonts w:ascii="Times New Roman" w:hAnsi="Times New Roman" w:eastAsia="Times New Roman"/>
                <w:sz w:val="12"/>
              </w:rPr>
              <w:t>40.47</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5.9577</w:t>
            </w:r>
          </w:p>
        </w:tc>
        <w:tc>
          <w:tcPr>
            <w:tcW w:type="dxa" w:w="1450"/>
            <w:vAlign w:val="center"/>
          </w:tcPr>
          <w:p>
            <w:pPr>
              <w:spacing w:after="0" w:line="211" w:lineRule="auto"/>
              <w:jc w:val="center"/>
            </w:pPr>
            <w:r>
              <w:rPr>
                <w:rFonts w:ascii="Times New Roman" w:hAnsi="Times New Roman" w:eastAsia="Times New Roman"/>
                <w:sz w:val="12"/>
              </w:rPr>
              <w:t>11.3518</w:t>
            </w:r>
          </w:p>
        </w:tc>
        <w:tc>
          <w:tcPr>
            <w:tcW w:type="dxa" w:w="1450"/>
            <w:vAlign w:val="center"/>
          </w:tcPr>
          <w:p>
            <w:pPr>
              <w:spacing w:after="0" w:line="211" w:lineRule="auto"/>
              <w:jc w:val="center"/>
            </w:pPr>
            <w:r>
              <w:rPr>
                <w:rFonts w:ascii="Times New Roman" w:hAnsi="Times New Roman" w:eastAsia="Times New Roman"/>
                <w:sz w:val="12"/>
              </w:rPr>
              <w:t>5.82</w:t>
            </w:r>
          </w:p>
        </w:tc>
        <w:tc>
          <w:tcPr>
            <w:tcW w:type="dxa" w:w="1450"/>
            <w:vAlign w:val="center"/>
          </w:tcPr>
          <w:p>
            <w:pPr>
              <w:spacing w:after="0" w:line="211" w:lineRule="auto"/>
              <w:jc w:val="center"/>
            </w:pPr>
            <w:r>
              <w:rPr>
                <w:rFonts w:ascii="Times New Roman" w:hAnsi="Times New Roman" w:eastAsia="Times New Roman"/>
                <w:sz w:val="12"/>
              </w:rPr>
              <w:t>0.6820</w:t>
            </w:r>
          </w:p>
        </w:tc>
        <w:tc>
          <w:tcPr>
            <w:tcW w:type="dxa" w:w="1450"/>
            <w:vAlign w:val="center"/>
          </w:tcPr>
          <w:p>
            <w:pPr>
              <w:spacing w:after="0" w:line="211" w:lineRule="auto"/>
              <w:jc w:val="center"/>
            </w:pPr>
            <w:r>
              <w:rPr>
                <w:rFonts w:ascii="Times New Roman" w:hAnsi="Times New Roman" w:eastAsia="Times New Roman"/>
                <w:sz w:val="12"/>
              </w:rPr>
              <w:t>44.48</w:t>
            </w:r>
          </w:p>
        </w:tc>
      </w:tr>
      <w:tr>
        <w:tc>
          <w:tcPr>
            <w:tcW w:type="dxa" w:w="1450"/>
            <w:vAlign w:val="center"/>
          </w:tcPr>
          <w:p>
            <w:pPr>
              <w:spacing w:after="0" w:line="211" w:lineRule="auto"/>
              <w:jc w:val="center"/>
            </w:pPr>
            <w:r>
              <w:rPr>
                <w:rFonts w:ascii="Times New Roman" w:hAnsi="Times New Roman" w:eastAsia="Times New Roman"/>
                <w:b/>
                <w:sz w:val="12"/>
              </w:rPr>
              <w:t>H60</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4.8470</w:t>
            </w:r>
          </w:p>
        </w:tc>
        <w:tc>
          <w:tcPr>
            <w:tcW w:type="dxa" w:w="1450"/>
            <w:vAlign w:val="center"/>
          </w:tcPr>
          <w:p>
            <w:pPr>
              <w:spacing w:after="0" w:line="211" w:lineRule="auto"/>
              <w:jc w:val="center"/>
            </w:pPr>
            <w:r>
              <w:rPr>
                <w:rFonts w:ascii="Times New Roman" w:hAnsi="Times New Roman" w:eastAsia="Times New Roman"/>
                <w:b/>
                <w:sz w:val="12"/>
              </w:rPr>
              <w:t>10.4474</w:t>
            </w:r>
          </w:p>
        </w:tc>
        <w:tc>
          <w:tcPr>
            <w:tcW w:type="dxa" w:w="1450"/>
            <w:vAlign w:val="center"/>
          </w:tcPr>
          <w:p>
            <w:pPr>
              <w:spacing w:after="0" w:line="211" w:lineRule="auto"/>
              <w:jc w:val="center"/>
            </w:pPr>
            <w:r>
              <w:rPr>
                <w:rFonts w:ascii="Times New Roman" w:hAnsi="Times New Roman" w:eastAsia="Times New Roman"/>
                <w:b/>
                <w:sz w:val="12"/>
              </w:rPr>
              <w:t>5.11</w:t>
            </w:r>
          </w:p>
        </w:tc>
        <w:tc>
          <w:tcPr>
            <w:tcW w:type="dxa" w:w="1450"/>
            <w:vAlign w:val="center"/>
          </w:tcPr>
          <w:p>
            <w:pPr>
              <w:spacing w:after="0" w:line="211" w:lineRule="auto"/>
              <w:jc w:val="center"/>
            </w:pPr>
            <w:r>
              <w:rPr>
                <w:rFonts w:ascii="Times New Roman" w:hAnsi="Times New Roman" w:eastAsia="Times New Roman"/>
                <w:b/>
                <w:sz w:val="12"/>
              </w:rPr>
              <w:t>0.1552</w:t>
            </w:r>
          </w:p>
        </w:tc>
        <w:tc>
          <w:tcPr>
            <w:tcW w:type="dxa" w:w="1450"/>
            <w:vAlign w:val="center"/>
          </w:tcPr>
          <w:p>
            <w:pPr>
              <w:spacing w:after="0" w:line="211" w:lineRule="auto"/>
              <w:jc w:val="center"/>
            </w:pPr>
            <w:r>
              <w:rPr>
                <w:rFonts w:ascii="Times New Roman" w:hAnsi="Times New Roman" w:eastAsia="Times New Roman"/>
                <w:b/>
                <w:sz w:val="12"/>
              </w:rPr>
              <w:t>27.95</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7.3983</w:t>
            </w:r>
          </w:p>
        </w:tc>
        <w:tc>
          <w:tcPr>
            <w:tcW w:type="dxa" w:w="1450"/>
            <w:vAlign w:val="center"/>
          </w:tcPr>
          <w:p>
            <w:pPr>
              <w:spacing w:after="0" w:line="211" w:lineRule="auto"/>
              <w:jc w:val="center"/>
            </w:pPr>
            <w:r>
              <w:rPr>
                <w:rFonts w:ascii="Times New Roman" w:hAnsi="Times New Roman" w:eastAsia="Times New Roman"/>
                <w:sz w:val="12"/>
              </w:rPr>
              <w:t>14.1515</w:t>
            </w:r>
          </w:p>
        </w:tc>
        <w:tc>
          <w:tcPr>
            <w:tcW w:type="dxa" w:w="1450"/>
            <w:vAlign w:val="center"/>
          </w:tcPr>
          <w:p>
            <w:pPr>
              <w:spacing w:after="0" w:line="211" w:lineRule="auto"/>
              <w:jc w:val="center"/>
            </w:pPr>
            <w:r>
              <w:rPr>
                <w:rFonts w:ascii="Times New Roman" w:hAnsi="Times New Roman" w:eastAsia="Times New Roman"/>
                <w:sz w:val="12"/>
              </w:rPr>
              <w:t>7.64</w:t>
            </w:r>
          </w:p>
        </w:tc>
        <w:tc>
          <w:tcPr>
            <w:tcW w:type="dxa" w:w="1450"/>
            <w:vAlign w:val="center"/>
          </w:tcPr>
          <w:p>
            <w:pPr>
              <w:spacing w:after="0" w:line="211" w:lineRule="auto"/>
              <w:jc w:val="center"/>
            </w:pPr>
            <w:r>
              <w:rPr>
                <w:rFonts w:ascii="Times New Roman" w:hAnsi="Times New Roman" w:eastAsia="Times New Roman"/>
                <w:sz w:val="12"/>
              </w:rPr>
              <w:t>-0.1771</w:t>
            </w:r>
          </w:p>
        </w:tc>
        <w:tc>
          <w:tcPr>
            <w:tcW w:type="dxa" w:w="1450"/>
            <w:vAlign w:val="center"/>
          </w:tcPr>
          <w:p>
            <w:pPr>
              <w:spacing w:after="0" w:line="211" w:lineRule="auto"/>
              <w:jc w:val="center"/>
            </w:pPr>
            <w:r>
              <w:rPr>
                <w:rFonts w:ascii="Times New Roman" w:hAnsi="Times New Roman" w:eastAsia="Times New Roman"/>
                <w:sz w:val="12"/>
              </w:rPr>
              <w:t>47.86</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6.9327</w:t>
            </w:r>
          </w:p>
        </w:tc>
        <w:tc>
          <w:tcPr>
            <w:tcW w:type="dxa" w:w="1450"/>
            <w:vAlign w:val="center"/>
          </w:tcPr>
          <w:p>
            <w:pPr>
              <w:spacing w:after="0" w:line="211" w:lineRule="auto"/>
              <w:jc w:val="center"/>
            </w:pPr>
            <w:r>
              <w:rPr>
                <w:rFonts w:ascii="Times New Roman" w:hAnsi="Times New Roman" w:eastAsia="Times New Roman"/>
                <w:sz w:val="12"/>
              </w:rPr>
              <w:t>13.6722</w:t>
            </w:r>
          </w:p>
        </w:tc>
        <w:tc>
          <w:tcPr>
            <w:tcW w:type="dxa" w:w="1450"/>
            <w:vAlign w:val="center"/>
          </w:tcPr>
          <w:p>
            <w:pPr>
              <w:spacing w:after="0" w:line="211" w:lineRule="auto"/>
              <w:jc w:val="center"/>
            </w:pPr>
            <w:r>
              <w:rPr>
                <w:rFonts w:ascii="Times New Roman" w:hAnsi="Times New Roman" w:eastAsia="Times New Roman"/>
                <w:sz w:val="12"/>
              </w:rPr>
              <w:t>7.15</w:t>
            </w:r>
          </w:p>
        </w:tc>
        <w:tc>
          <w:tcPr>
            <w:tcW w:type="dxa" w:w="1450"/>
            <w:vAlign w:val="center"/>
          </w:tcPr>
          <w:p>
            <w:pPr>
              <w:spacing w:after="0" w:line="211" w:lineRule="auto"/>
              <w:jc w:val="center"/>
            </w:pPr>
            <w:r>
              <w:rPr>
                <w:rFonts w:ascii="Times New Roman" w:hAnsi="Times New Roman" w:eastAsia="Times New Roman"/>
                <w:sz w:val="12"/>
              </w:rPr>
              <w:t>-0.0987</w:t>
            </w:r>
          </w:p>
        </w:tc>
        <w:tc>
          <w:tcPr>
            <w:tcW w:type="dxa" w:w="1450"/>
            <w:vAlign w:val="center"/>
          </w:tcPr>
          <w:p>
            <w:pPr>
              <w:spacing w:after="0" w:line="211" w:lineRule="auto"/>
              <w:jc w:val="center"/>
            </w:pPr>
            <w:r>
              <w:rPr>
                <w:rFonts w:ascii="Times New Roman" w:hAnsi="Times New Roman" w:eastAsia="Times New Roman"/>
                <w:sz w:val="12"/>
              </w:rPr>
              <w:t>47.41</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8.7212</w:t>
            </w:r>
          </w:p>
        </w:tc>
        <w:tc>
          <w:tcPr>
            <w:tcW w:type="dxa" w:w="1450"/>
            <w:vAlign w:val="center"/>
          </w:tcPr>
          <w:p>
            <w:pPr>
              <w:spacing w:after="0" w:line="211" w:lineRule="auto"/>
              <w:jc w:val="center"/>
            </w:pPr>
            <w:r>
              <w:rPr>
                <w:rFonts w:ascii="Times New Roman" w:hAnsi="Times New Roman" w:eastAsia="Times New Roman"/>
                <w:sz w:val="12"/>
              </w:rPr>
              <w:t>16.0547</w:t>
            </w:r>
          </w:p>
        </w:tc>
        <w:tc>
          <w:tcPr>
            <w:tcW w:type="dxa" w:w="1450"/>
            <w:vAlign w:val="center"/>
          </w:tcPr>
          <w:p>
            <w:pPr>
              <w:spacing w:after="0" w:line="211" w:lineRule="auto"/>
              <w:jc w:val="center"/>
            </w:pPr>
            <w:r>
              <w:rPr>
                <w:rFonts w:ascii="Times New Roman" w:hAnsi="Times New Roman" w:eastAsia="Times New Roman"/>
                <w:sz w:val="12"/>
              </w:rPr>
              <w:t>9.04</w:t>
            </w:r>
          </w:p>
        </w:tc>
        <w:tc>
          <w:tcPr>
            <w:tcW w:type="dxa" w:w="1450"/>
            <w:vAlign w:val="center"/>
          </w:tcPr>
          <w:p>
            <w:pPr>
              <w:spacing w:after="0" w:line="211" w:lineRule="auto"/>
              <w:jc w:val="center"/>
            </w:pPr>
            <w:r>
              <w:rPr>
                <w:rFonts w:ascii="Times New Roman" w:hAnsi="Times New Roman" w:eastAsia="Times New Roman"/>
                <w:sz w:val="12"/>
              </w:rPr>
              <w:t>-0.5150</w:t>
            </w:r>
          </w:p>
        </w:tc>
        <w:tc>
          <w:tcPr>
            <w:tcW w:type="dxa" w:w="1450"/>
            <w:vAlign w:val="center"/>
          </w:tcPr>
          <w:p>
            <w:pPr>
              <w:spacing w:after="0" w:line="211" w:lineRule="auto"/>
              <w:jc w:val="center"/>
            </w:pPr>
            <w:r>
              <w:rPr>
                <w:rFonts w:ascii="Times New Roman" w:hAnsi="Times New Roman" w:eastAsia="Times New Roman"/>
                <w:sz w:val="12"/>
              </w:rPr>
              <w:t>46.28</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6.9707</w:t>
            </w:r>
          </w:p>
        </w:tc>
        <w:tc>
          <w:tcPr>
            <w:tcW w:type="dxa" w:w="1450"/>
            <w:vAlign w:val="center"/>
          </w:tcPr>
          <w:p>
            <w:pPr>
              <w:spacing w:after="0" w:line="211" w:lineRule="auto"/>
              <w:jc w:val="center"/>
            </w:pPr>
            <w:r>
              <w:rPr>
                <w:rFonts w:ascii="Times New Roman" w:hAnsi="Times New Roman" w:eastAsia="Times New Roman"/>
                <w:sz w:val="12"/>
              </w:rPr>
              <w:t>13.7963</w:t>
            </w:r>
          </w:p>
        </w:tc>
        <w:tc>
          <w:tcPr>
            <w:tcW w:type="dxa" w:w="1450"/>
            <w:vAlign w:val="center"/>
          </w:tcPr>
          <w:p>
            <w:pPr>
              <w:spacing w:after="0" w:line="211" w:lineRule="auto"/>
              <w:jc w:val="center"/>
            </w:pPr>
            <w:r>
              <w:rPr>
                <w:rFonts w:ascii="Times New Roman" w:hAnsi="Times New Roman" w:eastAsia="Times New Roman"/>
                <w:sz w:val="12"/>
              </w:rPr>
              <w:t>7.13</w:t>
            </w:r>
          </w:p>
        </w:tc>
        <w:tc>
          <w:tcPr>
            <w:tcW w:type="dxa" w:w="1450"/>
            <w:vAlign w:val="center"/>
          </w:tcPr>
          <w:p>
            <w:pPr>
              <w:spacing w:after="0" w:line="211" w:lineRule="auto"/>
              <w:jc w:val="center"/>
            </w:pPr>
            <w:r>
              <w:rPr>
                <w:rFonts w:ascii="Times New Roman" w:hAnsi="Times New Roman" w:eastAsia="Times New Roman"/>
                <w:sz w:val="12"/>
              </w:rPr>
              <w:t>-0.1187</w:t>
            </w:r>
          </w:p>
        </w:tc>
        <w:tc>
          <w:tcPr>
            <w:tcW w:type="dxa" w:w="1450"/>
            <w:vAlign w:val="center"/>
          </w:tcPr>
          <w:p>
            <w:pPr>
              <w:spacing w:after="0" w:line="211" w:lineRule="auto"/>
              <w:jc w:val="center"/>
            </w:pPr>
            <w:r>
              <w:rPr>
                <w:rFonts w:ascii="Times New Roman" w:hAnsi="Times New Roman" w:eastAsia="Times New Roman"/>
                <w:sz w:val="12"/>
              </w:rPr>
              <w:t>46.63</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BiMamba</w:t>
            </w:r>
          </w:p>
        </w:tc>
        <w:tc>
          <w:tcPr>
            <w:tcW w:type="dxa" w:w="1450"/>
            <w:vAlign w:val="center"/>
          </w:tcPr>
          <w:p>
            <w:pPr>
              <w:spacing w:after="0" w:line="211" w:lineRule="auto"/>
              <w:jc w:val="center"/>
            </w:pPr>
            <w:r>
              <w:rPr>
                <w:rFonts w:ascii="Times New Roman" w:hAnsi="Times New Roman" w:eastAsia="Times New Roman"/>
                <w:sz w:val="12"/>
              </w:rPr>
              <w:t>7.5070</w:t>
            </w:r>
          </w:p>
        </w:tc>
        <w:tc>
          <w:tcPr>
            <w:tcW w:type="dxa" w:w="1450"/>
            <w:vAlign w:val="center"/>
          </w:tcPr>
          <w:p>
            <w:pPr>
              <w:spacing w:after="0" w:line="211" w:lineRule="auto"/>
              <w:jc w:val="center"/>
            </w:pPr>
            <w:r>
              <w:rPr>
                <w:rFonts w:ascii="Times New Roman" w:hAnsi="Times New Roman" w:eastAsia="Times New Roman"/>
                <w:sz w:val="12"/>
              </w:rPr>
              <w:t>14.4158</w:t>
            </w:r>
          </w:p>
        </w:tc>
        <w:tc>
          <w:tcPr>
            <w:tcW w:type="dxa" w:w="1450"/>
            <w:vAlign w:val="center"/>
          </w:tcPr>
          <w:p>
            <w:pPr>
              <w:spacing w:after="0" w:line="211" w:lineRule="auto"/>
              <w:jc w:val="center"/>
            </w:pPr>
            <w:r>
              <w:rPr>
                <w:rFonts w:ascii="Times New Roman" w:hAnsi="Times New Roman" w:eastAsia="Times New Roman"/>
                <w:sz w:val="12"/>
              </w:rPr>
              <w:t>7.71</w:t>
            </w:r>
          </w:p>
        </w:tc>
        <w:tc>
          <w:tcPr>
            <w:tcW w:type="dxa" w:w="1450"/>
            <w:vAlign w:val="center"/>
          </w:tcPr>
          <w:p>
            <w:pPr>
              <w:spacing w:after="0" w:line="211" w:lineRule="auto"/>
              <w:jc w:val="center"/>
            </w:pPr>
            <w:r>
              <w:rPr>
                <w:rFonts w:ascii="Times New Roman" w:hAnsi="Times New Roman" w:eastAsia="Times New Roman"/>
                <w:sz w:val="12"/>
              </w:rPr>
              <w:t>-0.2215</w:t>
            </w:r>
          </w:p>
        </w:tc>
        <w:tc>
          <w:tcPr>
            <w:tcW w:type="dxa" w:w="1450"/>
            <w:vAlign w:val="center"/>
          </w:tcPr>
          <w:p>
            <w:pPr>
              <w:spacing w:after="0" w:line="211" w:lineRule="auto"/>
              <w:jc w:val="center"/>
            </w:pPr>
            <w:r>
              <w:rPr>
                <w:rFonts w:ascii="Times New Roman" w:hAnsi="Times New Roman" w:eastAsia="Times New Roman"/>
                <w:sz w:val="12"/>
              </w:rPr>
              <w:t>48.90</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6.9722</w:t>
            </w:r>
          </w:p>
        </w:tc>
        <w:tc>
          <w:tcPr>
            <w:tcW w:type="dxa" w:w="1450"/>
            <w:vAlign w:val="center"/>
          </w:tcPr>
          <w:p>
            <w:pPr>
              <w:spacing w:after="0" w:line="211" w:lineRule="auto"/>
              <w:jc w:val="center"/>
            </w:pPr>
            <w:r>
              <w:rPr>
                <w:rFonts w:ascii="Times New Roman" w:hAnsi="Times New Roman" w:eastAsia="Times New Roman"/>
                <w:sz w:val="12"/>
              </w:rPr>
              <w:t>13.8894</w:t>
            </w:r>
          </w:p>
        </w:tc>
        <w:tc>
          <w:tcPr>
            <w:tcW w:type="dxa" w:w="1450"/>
            <w:vAlign w:val="center"/>
          </w:tcPr>
          <w:p>
            <w:pPr>
              <w:spacing w:after="0" w:line="211" w:lineRule="auto"/>
              <w:jc w:val="center"/>
            </w:pPr>
            <w:r>
              <w:rPr>
                <w:rFonts w:ascii="Times New Roman" w:hAnsi="Times New Roman" w:eastAsia="Times New Roman"/>
                <w:sz w:val="12"/>
              </w:rPr>
              <w:t>7.21</w:t>
            </w:r>
          </w:p>
        </w:tc>
        <w:tc>
          <w:tcPr>
            <w:tcW w:type="dxa" w:w="1450"/>
            <w:vAlign w:val="center"/>
          </w:tcPr>
          <w:p>
            <w:pPr>
              <w:spacing w:after="0" w:line="211" w:lineRule="auto"/>
              <w:jc w:val="center"/>
            </w:pPr>
            <w:r>
              <w:rPr>
                <w:rFonts w:ascii="Times New Roman" w:hAnsi="Times New Roman" w:eastAsia="Times New Roman"/>
                <w:sz w:val="12"/>
              </w:rPr>
              <w:t>-0.1339</w:t>
            </w:r>
          </w:p>
        </w:tc>
        <w:tc>
          <w:tcPr>
            <w:tcW w:type="dxa" w:w="1450"/>
            <w:vAlign w:val="center"/>
          </w:tcPr>
          <w:p>
            <w:pPr>
              <w:spacing w:after="0" w:line="211" w:lineRule="auto"/>
              <w:jc w:val="center"/>
            </w:pPr>
            <w:r>
              <w:rPr>
                <w:rFonts w:ascii="Times New Roman" w:hAnsi="Times New Roman" w:eastAsia="Times New Roman"/>
                <w:sz w:val="12"/>
              </w:rPr>
              <w:t>46.16</w:t>
            </w:r>
          </w:p>
        </w:tc>
      </w:tr>
    </w:tbl>
    <w:p>
      <w:pPr>
        <w:pStyle w:val="Caption"/>
      </w:pPr>
      <w:r>
        <w:t>Bảng 2. Kết quả chi tiết trên MG95 (Seed=42). MAE/RMSE tính theo USD/thùng; giá trị DA là phần trăm.</w:t>
      </w:r>
    </w:p>
    <w:tbl>
      <w:tblPr>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trPr>
        <w:tc>
          <w:tcPr>
            <w:tcW w:type="dxa" w:w="1450"/>
            <w:vAlign w:val="center"/>
            <w:shd w:fill="E7E6E6"/>
          </w:tcPr>
          <w:p>
            <w:pPr>
              <w:spacing w:after="0" w:line="211" w:lineRule="auto"/>
              <w:jc w:val="center"/>
            </w:pPr>
            <w:r>
              <w:rPr>
                <w:rFonts w:ascii="Times New Roman" w:hAnsi="Times New Roman" w:eastAsia="Times New Roman"/>
                <w:b/>
                <w:sz w:val="12"/>
              </w:rPr>
              <w:t>H</w:t>
            </w:r>
          </w:p>
        </w:tc>
        <w:tc>
          <w:tcPr>
            <w:tcW w:type="dxa" w:w="1450"/>
            <w:vAlign w:val="center"/>
            <w:shd w:fill="E7E6E6"/>
          </w:tcPr>
          <w:p>
            <w:pPr>
              <w:spacing w:after="0" w:line="211" w:lineRule="auto"/>
              <w:jc w:val="left"/>
            </w:pPr>
            <w:r>
              <w:rPr>
                <w:rFonts w:ascii="Times New Roman" w:hAnsi="Times New Roman" w:eastAsia="Times New Roman"/>
                <w:b/>
                <w:sz w:val="12"/>
              </w:rPr>
              <w:t>Mô hình</w:t>
            </w:r>
          </w:p>
        </w:tc>
        <w:tc>
          <w:tcPr>
            <w:tcW w:type="dxa" w:w="1450"/>
            <w:vAlign w:val="center"/>
            <w:shd w:fill="E7E6E6"/>
          </w:tcPr>
          <w:p>
            <w:pPr>
              <w:spacing w:after="0" w:line="211" w:lineRule="auto"/>
              <w:jc w:val="center"/>
            </w:pPr>
            <w:r>
              <w:rPr>
                <w:rFonts w:ascii="Times New Roman" w:hAnsi="Times New Roman" w:eastAsia="Times New Roman"/>
                <w:b/>
                <w:sz w:val="12"/>
              </w:rPr>
              <w:t>MAE</w:t>
            </w:r>
          </w:p>
        </w:tc>
        <w:tc>
          <w:tcPr>
            <w:tcW w:type="dxa" w:w="1450"/>
            <w:vAlign w:val="center"/>
            <w:shd w:fill="E7E6E6"/>
          </w:tcPr>
          <w:p>
            <w:pPr>
              <w:spacing w:after="0" w:line="211" w:lineRule="auto"/>
              <w:jc w:val="center"/>
            </w:pPr>
            <w:r>
              <w:rPr>
                <w:rFonts w:ascii="Times New Roman" w:hAnsi="Times New Roman" w:eastAsia="Times New Roman"/>
                <w:b/>
                <w:sz w:val="12"/>
              </w:rPr>
              <w:t>RMSE</w:t>
            </w:r>
          </w:p>
        </w:tc>
        <w:tc>
          <w:tcPr>
            <w:tcW w:type="dxa" w:w="1450"/>
            <w:vAlign w:val="center"/>
            <w:shd w:fill="E7E6E6"/>
          </w:tcPr>
          <w:p>
            <w:pPr>
              <w:spacing w:after="0" w:line="211" w:lineRule="auto"/>
              <w:jc w:val="center"/>
            </w:pPr>
            <w:r>
              <w:rPr>
                <w:rFonts w:ascii="Times New Roman" w:hAnsi="Times New Roman" w:eastAsia="Times New Roman"/>
                <w:b/>
                <w:sz w:val="12"/>
              </w:rPr>
              <w:t>MAPE (%)</w:t>
            </w:r>
          </w:p>
        </w:tc>
        <w:tc>
          <w:tcPr>
            <w:tcW w:type="dxa" w:w="1450"/>
            <w:vAlign w:val="center"/>
            <w:shd w:fill="E7E6E6"/>
          </w:tcPr>
          <w:p>
            <w:pPr>
              <w:spacing w:after="0" w:line="211" w:lineRule="auto"/>
              <w:jc w:val="center"/>
            </w:pPr>
            <w:r>
              <w:rPr>
                <w:rFonts w:ascii="Times New Roman" w:hAnsi="Times New Roman" w:eastAsia="Times New Roman"/>
                <w:b/>
                <w:sz w:val="12"/>
              </w:rPr>
              <w:t>R²</w:t>
            </w:r>
          </w:p>
        </w:tc>
        <w:tc>
          <w:tcPr>
            <w:tcW w:type="dxa" w:w="1450"/>
            <w:vAlign w:val="center"/>
            <w:shd w:fill="E7E6E6"/>
          </w:tcPr>
          <w:p>
            <w:pPr>
              <w:spacing w:after="0" w:line="211" w:lineRule="auto"/>
              <w:jc w:val="center"/>
            </w:pPr>
            <w:r>
              <w:rPr>
                <w:rFonts w:ascii="Times New Roman" w:hAnsi="Times New Roman" w:eastAsia="Times New Roman"/>
                <w:b/>
                <w:sz w:val="12"/>
              </w:rPr>
              <w:t>DA (%)</w:t>
            </w:r>
          </w:p>
        </w:tc>
      </w:tr>
      <w:tr>
        <w:tc>
          <w:tcPr>
            <w:tcW w:type="dxa" w:w="1450"/>
            <w:vAlign w:val="center"/>
          </w:tcPr>
          <w:p>
            <w:pPr>
              <w:spacing w:after="0" w:line="211" w:lineRule="auto"/>
              <w:jc w:val="center"/>
            </w:pPr>
            <w:r>
              <w:rPr>
                <w:rFonts w:ascii="Times New Roman" w:hAnsi="Times New Roman" w:eastAsia="Times New Roman"/>
                <w:b/>
                <w:sz w:val="12"/>
              </w:rPr>
              <w:t>H1</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5.6023</w:t>
            </w:r>
          </w:p>
        </w:tc>
        <w:tc>
          <w:tcPr>
            <w:tcW w:type="dxa" w:w="1450"/>
            <w:vAlign w:val="center"/>
          </w:tcPr>
          <w:p>
            <w:pPr>
              <w:spacing w:after="0" w:line="211" w:lineRule="auto"/>
              <w:jc w:val="center"/>
            </w:pPr>
            <w:r>
              <w:rPr>
                <w:rFonts w:ascii="Times New Roman" w:hAnsi="Times New Roman" w:eastAsia="Times New Roman"/>
                <w:b/>
                <w:sz w:val="12"/>
              </w:rPr>
              <w:t>11.3820</w:t>
            </w:r>
          </w:p>
        </w:tc>
        <w:tc>
          <w:tcPr>
            <w:tcW w:type="dxa" w:w="1450"/>
            <w:vAlign w:val="center"/>
          </w:tcPr>
          <w:p>
            <w:pPr>
              <w:spacing w:after="0" w:line="211" w:lineRule="auto"/>
              <w:jc w:val="center"/>
            </w:pPr>
            <w:r>
              <w:rPr>
                <w:rFonts w:ascii="Times New Roman" w:hAnsi="Times New Roman" w:eastAsia="Times New Roman"/>
                <w:b/>
                <w:sz w:val="12"/>
              </w:rPr>
              <w:t>3.24</w:t>
            </w:r>
          </w:p>
        </w:tc>
        <w:tc>
          <w:tcPr>
            <w:tcW w:type="dxa" w:w="1450"/>
            <w:vAlign w:val="center"/>
          </w:tcPr>
          <w:p>
            <w:pPr>
              <w:spacing w:after="0" w:line="211" w:lineRule="auto"/>
              <w:jc w:val="center"/>
            </w:pPr>
            <w:r>
              <w:rPr>
                <w:rFonts w:ascii="Times New Roman" w:hAnsi="Times New Roman" w:eastAsia="Times New Roman"/>
                <w:b/>
                <w:sz w:val="12"/>
              </w:rPr>
              <w:t>0.9622</w:t>
            </w:r>
          </w:p>
        </w:tc>
        <w:tc>
          <w:tcPr>
            <w:tcW w:type="dxa" w:w="1450"/>
            <w:vAlign w:val="center"/>
          </w:tcPr>
          <w:p>
            <w:pPr>
              <w:spacing w:after="0" w:line="211" w:lineRule="auto"/>
              <w:jc w:val="center"/>
            </w:pPr>
            <w:r>
              <w:rPr>
                <w:rFonts w:ascii="Times New Roman" w:hAnsi="Times New Roman" w:eastAsia="Times New Roman"/>
                <w:b/>
                <w:sz w:val="12"/>
              </w:rPr>
              <w:t>84.92</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6.1468</w:t>
            </w:r>
          </w:p>
        </w:tc>
        <w:tc>
          <w:tcPr>
            <w:tcW w:type="dxa" w:w="1450"/>
            <w:vAlign w:val="center"/>
          </w:tcPr>
          <w:p>
            <w:pPr>
              <w:spacing w:after="0" w:line="211" w:lineRule="auto"/>
              <w:jc w:val="center"/>
            </w:pPr>
            <w:r>
              <w:rPr>
                <w:rFonts w:ascii="Times New Roman" w:hAnsi="Times New Roman" w:eastAsia="Times New Roman"/>
                <w:sz w:val="12"/>
              </w:rPr>
              <w:t>11.8728</w:t>
            </w:r>
          </w:p>
        </w:tc>
        <w:tc>
          <w:tcPr>
            <w:tcW w:type="dxa" w:w="1450"/>
            <w:vAlign w:val="center"/>
          </w:tcPr>
          <w:p>
            <w:pPr>
              <w:spacing w:after="0" w:line="211" w:lineRule="auto"/>
              <w:jc w:val="center"/>
            </w:pPr>
            <w:r>
              <w:rPr>
                <w:rFonts w:ascii="Times New Roman" w:hAnsi="Times New Roman" w:eastAsia="Times New Roman"/>
                <w:sz w:val="12"/>
              </w:rPr>
              <w:t>3.58</w:t>
            </w:r>
          </w:p>
        </w:tc>
        <w:tc>
          <w:tcPr>
            <w:tcW w:type="dxa" w:w="1450"/>
            <w:vAlign w:val="center"/>
          </w:tcPr>
          <w:p>
            <w:pPr>
              <w:spacing w:after="0" w:line="211" w:lineRule="auto"/>
              <w:jc w:val="center"/>
            </w:pPr>
            <w:r>
              <w:rPr>
                <w:rFonts w:ascii="Times New Roman" w:hAnsi="Times New Roman" w:eastAsia="Times New Roman"/>
                <w:sz w:val="12"/>
              </w:rPr>
              <w:t>0.9588</w:t>
            </w:r>
          </w:p>
        </w:tc>
        <w:tc>
          <w:tcPr>
            <w:tcW w:type="dxa" w:w="1450"/>
            <w:vAlign w:val="center"/>
          </w:tcPr>
          <w:p>
            <w:pPr>
              <w:spacing w:after="0" w:line="211" w:lineRule="auto"/>
              <w:jc w:val="center"/>
            </w:pPr>
            <w:r>
              <w:rPr>
                <w:rFonts w:ascii="Times New Roman" w:hAnsi="Times New Roman" w:eastAsia="Times New Roman"/>
                <w:sz w:val="12"/>
              </w:rPr>
              <w:t>62.12</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6.1601</w:t>
            </w:r>
          </w:p>
        </w:tc>
        <w:tc>
          <w:tcPr>
            <w:tcW w:type="dxa" w:w="1450"/>
            <w:vAlign w:val="center"/>
          </w:tcPr>
          <w:p>
            <w:pPr>
              <w:spacing w:after="0" w:line="211" w:lineRule="auto"/>
              <w:jc w:val="center"/>
            </w:pPr>
            <w:r>
              <w:rPr>
                <w:rFonts w:ascii="Times New Roman" w:hAnsi="Times New Roman" w:eastAsia="Times New Roman"/>
                <w:sz w:val="12"/>
              </w:rPr>
              <w:t>12.0048</w:t>
            </w:r>
          </w:p>
        </w:tc>
        <w:tc>
          <w:tcPr>
            <w:tcW w:type="dxa" w:w="1450"/>
            <w:vAlign w:val="center"/>
          </w:tcPr>
          <w:p>
            <w:pPr>
              <w:spacing w:after="0" w:line="211" w:lineRule="auto"/>
              <w:jc w:val="center"/>
            </w:pPr>
            <w:r>
              <w:rPr>
                <w:rFonts w:ascii="Times New Roman" w:hAnsi="Times New Roman" w:eastAsia="Times New Roman"/>
                <w:sz w:val="12"/>
              </w:rPr>
              <w:t>3.60</w:t>
            </w:r>
          </w:p>
        </w:tc>
        <w:tc>
          <w:tcPr>
            <w:tcW w:type="dxa" w:w="1450"/>
            <w:vAlign w:val="center"/>
          </w:tcPr>
          <w:p>
            <w:pPr>
              <w:spacing w:after="0" w:line="211" w:lineRule="auto"/>
              <w:jc w:val="center"/>
            </w:pPr>
            <w:r>
              <w:rPr>
                <w:rFonts w:ascii="Times New Roman" w:hAnsi="Times New Roman" w:eastAsia="Times New Roman"/>
                <w:sz w:val="12"/>
              </w:rPr>
              <w:t>0.9579</w:t>
            </w:r>
          </w:p>
        </w:tc>
        <w:tc>
          <w:tcPr>
            <w:tcW w:type="dxa" w:w="1450"/>
            <w:vAlign w:val="center"/>
          </w:tcPr>
          <w:p>
            <w:pPr>
              <w:spacing w:after="0" w:line="211" w:lineRule="auto"/>
              <w:jc w:val="center"/>
            </w:pPr>
            <w:r>
              <w:rPr>
                <w:rFonts w:ascii="Times New Roman" w:hAnsi="Times New Roman" w:eastAsia="Times New Roman"/>
                <w:sz w:val="12"/>
              </w:rPr>
              <w:t>57.07</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6.0768</w:t>
            </w:r>
          </w:p>
        </w:tc>
        <w:tc>
          <w:tcPr>
            <w:tcW w:type="dxa" w:w="1450"/>
            <w:vAlign w:val="center"/>
          </w:tcPr>
          <w:p>
            <w:pPr>
              <w:spacing w:after="0" w:line="211" w:lineRule="auto"/>
              <w:jc w:val="center"/>
            </w:pPr>
            <w:r>
              <w:rPr>
                <w:rFonts w:ascii="Times New Roman" w:hAnsi="Times New Roman" w:eastAsia="Times New Roman"/>
                <w:sz w:val="12"/>
              </w:rPr>
              <w:t>11.8132</w:t>
            </w:r>
          </w:p>
        </w:tc>
        <w:tc>
          <w:tcPr>
            <w:tcW w:type="dxa" w:w="1450"/>
            <w:vAlign w:val="center"/>
          </w:tcPr>
          <w:p>
            <w:pPr>
              <w:spacing w:after="0" w:line="211" w:lineRule="auto"/>
              <w:jc w:val="center"/>
            </w:pPr>
            <w:r>
              <w:rPr>
                <w:rFonts w:ascii="Times New Roman" w:hAnsi="Times New Roman" w:eastAsia="Times New Roman"/>
                <w:sz w:val="12"/>
              </w:rPr>
              <w:t>3.54</w:t>
            </w:r>
          </w:p>
        </w:tc>
        <w:tc>
          <w:tcPr>
            <w:tcW w:type="dxa" w:w="1450"/>
            <w:vAlign w:val="center"/>
          </w:tcPr>
          <w:p>
            <w:pPr>
              <w:spacing w:after="0" w:line="211" w:lineRule="auto"/>
              <w:jc w:val="center"/>
            </w:pPr>
            <w:r>
              <w:rPr>
                <w:rFonts w:ascii="Times New Roman" w:hAnsi="Times New Roman" w:eastAsia="Times New Roman"/>
                <w:sz w:val="12"/>
              </w:rPr>
              <w:t>0.9593</w:t>
            </w:r>
          </w:p>
        </w:tc>
        <w:tc>
          <w:tcPr>
            <w:tcW w:type="dxa" w:w="1450"/>
            <w:vAlign w:val="center"/>
          </w:tcPr>
          <w:p>
            <w:pPr>
              <w:spacing w:after="0" w:line="211" w:lineRule="auto"/>
              <w:jc w:val="center"/>
            </w:pPr>
            <w:r>
              <w:rPr>
                <w:rFonts w:ascii="Times New Roman" w:hAnsi="Times New Roman" w:eastAsia="Times New Roman"/>
                <w:sz w:val="12"/>
              </w:rPr>
              <w:t>58.08</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6.0346</w:t>
            </w:r>
          </w:p>
        </w:tc>
        <w:tc>
          <w:tcPr>
            <w:tcW w:type="dxa" w:w="1450"/>
            <w:vAlign w:val="center"/>
          </w:tcPr>
          <w:p>
            <w:pPr>
              <w:spacing w:after="0" w:line="211" w:lineRule="auto"/>
              <w:jc w:val="center"/>
            </w:pPr>
            <w:r>
              <w:rPr>
                <w:rFonts w:ascii="Times New Roman" w:hAnsi="Times New Roman" w:eastAsia="Times New Roman"/>
                <w:sz w:val="12"/>
              </w:rPr>
              <w:t>11.6526</w:t>
            </w:r>
          </w:p>
        </w:tc>
        <w:tc>
          <w:tcPr>
            <w:tcW w:type="dxa" w:w="1450"/>
            <w:vAlign w:val="center"/>
          </w:tcPr>
          <w:p>
            <w:pPr>
              <w:spacing w:after="0" w:line="211" w:lineRule="auto"/>
              <w:jc w:val="center"/>
            </w:pPr>
            <w:r>
              <w:rPr>
                <w:rFonts w:ascii="Times New Roman" w:hAnsi="Times New Roman" w:eastAsia="Times New Roman"/>
                <w:sz w:val="12"/>
              </w:rPr>
              <w:t>3.51</w:t>
            </w:r>
          </w:p>
        </w:tc>
        <w:tc>
          <w:tcPr>
            <w:tcW w:type="dxa" w:w="1450"/>
            <w:vAlign w:val="center"/>
          </w:tcPr>
          <w:p>
            <w:pPr>
              <w:spacing w:after="0" w:line="211" w:lineRule="auto"/>
              <w:jc w:val="center"/>
            </w:pPr>
            <w:r>
              <w:rPr>
                <w:rFonts w:ascii="Times New Roman" w:hAnsi="Times New Roman" w:eastAsia="Times New Roman"/>
                <w:sz w:val="12"/>
              </w:rPr>
              <w:t>0.9604</w:t>
            </w:r>
          </w:p>
        </w:tc>
        <w:tc>
          <w:tcPr>
            <w:tcW w:type="dxa" w:w="1450"/>
            <w:vAlign w:val="center"/>
          </w:tcPr>
          <w:p>
            <w:pPr>
              <w:spacing w:after="0" w:line="211" w:lineRule="auto"/>
              <w:jc w:val="center"/>
            </w:pPr>
            <w:r>
              <w:rPr>
                <w:rFonts w:ascii="Times New Roman" w:hAnsi="Times New Roman" w:eastAsia="Times New Roman"/>
                <w:sz w:val="12"/>
              </w:rPr>
              <w:t>55.05</w:t>
            </w:r>
          </w:p>
        </w:tc>
      </w:tr>
      <w:tr>
        <w:tc>
          <w:tcPr>
            <w:tcW w:type="dxa" w:w="1450"/>
            <w:vAlign w:val="center"/>
          </w:tcPr>
          <w:p>
            <w:pPr>
              <w:spacing w:after="0" w:line="211" w:lineRule="auto"/>
              <w:jc w:val="center"/>
            </w:pPr>
            <w:r>
              <w:rPr>
                <w:rFonts w:ascii="Times New Roman" w:hAnsi="Times New Roman" w:eastAsia="Times New Roman"/>
                <w:sz w:val="12"/>
              </w:rPr>
              <w:t>H1</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6.1218</w:t>
            </w:r>
          </w:p>
        </w:tc>
        <w:tc>
          <w:tcPr>
            <w:tcW w:type="dxa" w:w="1450"/>
            <w:vAlign w:val="center"/>
          </w:tcPr>
          <w:p>
            <w:pPr>
              <w:spacing w:after="0" w:line="211" w:lineRule="auto"/>
              <w:jc w:val="center"/>
            </w:pPr>
            <w:r>
              <w:rPr>
                <w:rFonts w:ascii="Times New Roman" w:hAnsi="Times New Roman" w:eastAsia="Times New Roman"/>
                <w:sz w:val="12"/>
              </w:rPr>
              <w:t>11.7740</w:t>
            </w:r>
          </w:p>
        </w:tc>
        <w:tc>
          <w:tcPr>
            <w:tcW w:type="dxa" w:w="1450"/>
            <w:vAlign w:val="center"/>
          </w:tcPr>
          <w:p>
            <w:pPr>
              <w:spacing w:after="0" w:line="211" w:lineRule="auto"/>
              <w:jc w:val="center"/>
            </w:pPr>
            <w:r>
              <w:rPr>
                <w:rFonts w:ascii="Times New Roman" w:hAnsi="Times New Roman" w:eastAsia="Times New Roman"/>
                <w:sz w:val="12"/>
              </w:rPr>
              <w:t>3.54</w:t>
            </w:r>
          </w:p>
        </w:tc>
        <w:tc>
          <w:tcPr>
            <w:tcW w:type="dxa" w:w="1450"/>
            <w:vAlign w:val="center"/>
          </w:tcPr>
          <w:p>
            <w:pPr>
              <w:spacing w:after="0" w:line="211" w:lineRule="auto"/>
              <w:jc w:val="center"/>
            </w:pPr>
            <w:r>
              <w:rPr>
                <w:rFonts w:ascii="Times New Roman" w:hAnsi="Times New Roman" w:eastAsia="Times New Roman"/>
                <w:sz w:val="12"/>
              </w:rPr>
              <w:t>0.9595</w:t>
            </w:r>
          </w:p>
        </w:tc>
        <w:tc>
          <w:tcPr>
            <w:tcW w:type="dxa" w:w="1450"/>
            <w:vAlign w:val="center"/>
          </w:tcPr>
          <w:p>
            <w:pPr>
              <w:spacing w:after="0" w:line="211" w:lineRule="auto"/>
              <w:jc w:val="center"/>
            </w:pPr>
            <w:r>
              <w:rPr>
                <w:rFonts w:ascii="Times New Roman" w:hAnsi="Times New Roman" w:eastAsia="Times New Roman"/>
                <w:sz w:val="12"/>
              </w:rPr>
              <w:t>60.10</w:t>
            </w:r>
          </w:p>
        </w:tc>
      </w:tr>
      <w:tr>
        <w:tc>
          <w:tcPr>
            <w:tcW w:type="dxa" w:w="1450"/>
            <w:vAlign w:val="center"/>
          </w:tcPr>
          <w:p>
            <w:pPr>
              <w:spacing w:after="0" w:line="211" w:lineRule="auto"/>
              <w:jc w:val="center"/>
            </w:pPr>
            <w:r>
              <w:rPr>
                <w:rFonts w:ascii="Times New Roman" w:hAnsi="Times New Roman" w:eastAsia="Times New Roman"/>
                <w:b/>
                <w:sz w:val="12"/>
              </w:rPr>
              <w:t>H3</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8.8536</w:t>
            </w:r>
          </w:p>
        </w:tc>
        <w:tc>
          <w:tcPr>
            <w:tcW w:type="dxa" w:w="1450"/>
            <w:vAlign w:val="center"/>
          </w:tcPr>
          <w:p>
            <w:pPr>
              <w:spacing w:after="0" w:line="211" w:lineRule="auto"/>
              <w:jc w:val="center"/>
            </w:pPr>
            <w:r>
              <w:rPr>
                <w:rFonts w:ascii="Times New Roman" w:hAnsi="Times New Roman" w:eastAsia="Times New Roman"/>
                <w:b/>
                <w:sz w:val="12"/>
              </w:rPr>
              <w:t>17.0380</w:t>
            </w:r>
          </w:p>
        </w:tc>
        <w:tc>
          <w:tcPr>
            <w:tcW w:type="dxa" w:w="1450"/>
            <w:vAlign w:val="center"/>
          </w:tcPr>
          <w:p>
            <w:pPr>
              <w:spacing w:after="0" w:line="211" w:lineRule="auto"/>
              <w:jc w:val="center"/>
            </w:pPr>
            <w:r>
              <w:rPr>
                <w:rFonts w:ascii="Times New Roman" w:hAnsi="Times New Roman" w:eastAsia="Times New Roman"/>
                <w:b/>
                <w:sz w:val="12"/>
              </w:rPr>
              <w:t>5.35</w:t>
            </w:r>
          </w:p>
        </w:tc>
        <w:tc>
          <w:tcPr>
            <w:tcW w:type="dxa" w:w="1450"/>
            <w:vAlign w:val="center"/>
          </w:tcPr>
          <w:p>
            <w:pPr>
              <w:spacing w:after="0" w:line="211" w:lineRule="auto"/>
              <w:jc w:val="center"/>
            </w:pPr>
            <w:r>
              <w:rPr>
                <w:rFonts w:ascii="Times New Roman" w:hAnsi="Times New Roman" w:eastAsia="Times New Roman"/>
                <w:b/>
                <w:sz w:val="12"/>
              </w:rPr>
              <w:t>0.9156</w:t>
            </w:r>
          </w:p>
        </w:tc>
        <w:tc>
          <w:tcPr>
            <w:tcW w:type="dxa" w:w="1450"/>
            <w:vAlign w:val="center"/>
          </w:tcPr>
          <w:p>
            <w:pPr>
              <w:spacing w:after="0" w:line="211" w:lineRule="auto"/>
              <w:jc w:val="center"/>
            </w:pPr>
            <w:r>
              <w:rPr>
                <w:rFonts w:ascii="Times New Roman" w:hAnsi="Times New Roman" w:eastAsia="Times New Roman"/>
                <w:b/>
                <w:sz w:val="12"/>
              </w:rPr>
              <w:t>76.65</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9.0363</w:t>
            </w:r>
          </w:p>
        </w:tc>
        <w:tc>
          <w:tcPr>
            <w:tcW w:type="dxa" w:w="1450"/>
            <w:vAlign w:val="center"/>
          </w:tcPr>
          <w:p>
            <w:pPr>
              <w:spacing w:after="0" w:line="211" w:lineRule="auto"/>
              <w:jc w:val="center"/>
            </w:pPr>
            <w:r>
              <w:rPr>
                <w:rFonts w:ascii="Times New Roman" w:hAnsi="Times New Roman" w:eastAsia="Times New Roman"/>
                <w:sz w:val="12"/>
              </w:rPr>
              <w:t>17.6157</w:t>
            </w:r>
          </w:p>
        </w:tc>
        <w:tc>
          <w:tcPr>
            <w:tcW w:type="dxa" w:w="1450"/>
            <w:vAlign w:val="center"/>
          </w:tcPr>
          <w:p>
            <w:pPr>
              <w:spacing w:after="0" w:line="211" w:lineRule="auto"/>
              <w:jc w:val="center"/>
            </w:pPr>
            <w:r>
              <w:rPr>
                <w:rFonts w:ascii="Times New Roman" w:hAnsi="Times New Roman" w:eastAsia="Times New Roman"/>
                <w:sz w:val="12"/>
              </w:rPr>
              <w:t>5.36</w:t>
            </w:r>
          </w:p>
        </w:tc>
        <w:tc>
          <w:tcPr>
            <w:tcW w:type="dxa" w:w="1450"/>
            <w:vAlign w:val="center"/>
          </w:tcPr>
          <w:p>
            <w:pPr>
              <w:spacing w:after="0" w:line="211" w:lineRule="auto"/>
              <w:jc w:val="center"/>
            </w:pPr>
            <w:r>
              <w:rPr>
                <w:rFonts w:ascii="Times New Roman" w:hAnsi="Times New Roman" w:eastAsia="Times New Roman"/>
                <w:sz w:val="12"/>
              </w:rPr>
              <w:t>0.9098</w:t>
            </w:r>
          </w:p>
        </w:tc>
        <w:tc>
          <w:tcPr>
            <w:tcW w:type="dxa" w:w="1450"/>
            <w:vAlign w:val="center"/>
          </w:tcPr>
          <w:p>
            <w:pPr>
              <w:spacing w:after="0" w:line="211" w:lineRule="auto"/>
              <w:jc w:val="center"/>
            </w:pPr>
            <w:r>
              <w:rPr>
                <w:rFonts w:ascii="Times New Roman" w:hAnsi="Times New Roman" w:eastAsia="Times New Roman"/>
                <w:sz w:val="12"/>
              </w:rPr>
              <w:t>48.47</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10.0366</w:t>
            </w:r>
          </w:p>
        </w:tc>
        <w:tc>
          <w:tcPr>
            <w:tcW w:type="dxa" w:w="1450"/>
            <w:vAlign w:val="center"/>
          </w:tcPr>
          <w:p>
            <w:pPr>
              <w:spacing w:after="0" w:line="211" w:lineRule="auto"/>
              <w:jc w:val="center"/>
            </w:pPr>
            <w:r>
              <w:rPr>
                <w:rFonts w:ascii="Times New Roman" w:hAnsi="Times New Roman" w:eastAsia="Times New Roman"/>
                <w:sz w:val="12"/>
              </w:rPr>
              <w:t>19.3143</w:t>
            </w:r>
          </w:p>
        </w:tc>
        <w:tc>
          <w:tcPr>
            <w:tcW w:type="dxa" w:w="1450"/>
            <w:vAlign w:val="center"/>
          </w:tcPr>
          <w:p>
            <w:pPr>
              <w:spacing w:after="0" w:line="211" w:lineRule="auto"/>
              <w:jc w:val="center"/>
            </w:pPr>
            <w:r>
              <w:rPr>
                <w:rFonts w:ascii="Times New Roman" w:hAnsi="Times New Roman" w:eastAsia="Times New Roman"/>
                <w:sz w:val="12"/>
              </w:rPr>
              <w:t>5.98</w:t>
            </w:r>
          </w:p>
        </w:tc>
        <w:tc>
          <w:tcPr>
            <w:tcW w:type="dxa" w:w="1450"/>
            <w:vAlign w:val="center"/>
          </w:tcPr>
          <w:p>
            <w:pPr>
              <w:spacing w:after="0" w:line="211" w:lineRule="auto"/>
              <w:jc w:val="center"/>
            </w:pPr>
            <w:r>
              <w:rPr>
                <w:rFonts w:ascii="Times New Roman" w:hAnsi="Times New Roman" w:eastAsia="Times New Roman"/>
                <w:sz w:val="12"/>
              </w:rPr>
              <w:t>0.8916</w:t>
            </w:r>
          </w:p>
        </w:tc>
        <w:tc>
          <w:tcPr>
            <w:tcW w:type="dxa" w:w="1450"/>
            <w:vAlign w:val="center"/>
          </w:tcPr>
          <w:p>
            <w:pPr>
              <w:spacing w:after="0" w:line="211" w:lineRule="auto"/>
              <w:jc w:val="center"/>
            </w:pPr>
            <w:r>
              <w:rPr>
                <w:rFonts w:ascii="Times New Roman" w:hAnsi="Times New Roman" w:eastAsia="Times New Roman"/>
                <w:sz w:val="12"/>
              </w:rPr>
              <w:t>46.43</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9.5007</w:t>
            </w:r>
          </w:p>
        </w:tc>
        <w:tc>
          <w:tcPr>
            <w:tcW w:type="dxa" w:w="1450"/>
            <w:vAlign w:val="center"/>
          </w:tcPr>
          <w:p>
            <w:pPr>
              <w:spacing w:after="0" w:line="211" w:lineRule="auto"/>
              <w:jc w:val="center"/>
            </w:pPr>
            <w:r>
              <w:rPr>
                <w:rFonts w:ascii="Times New Roman" w:hAnsi="Times New Roman" w:eastAsia="Times New Roman"/>
                <w:sz w:val="12"/>
              </w:rPr>
              <w:t>17.9989</w:t>
            </w:r>
          </w:p>
        </w:tc>
        <w:tc>
          <w:tcPr>
            <w:tcW w:type="dxa" w:w="1450"/>
            <w:vAlign w:val="center"/>
          </w:tcPr>
          <w:p>
            <w:pPr>
              <w:spacing w:after="0" w:line="211" w:lineRule="auto"/>
              <w:jc w:val="center"/>
            </w:pPr>
            <w:r>
              <w:rPr>
                <w:rFonts w:ascii="Times New Roman" w:hAnsi="Times New Roman" w:eastAsia="Times New Roman"/>
                <w:sz w:val="12"/>
              </w:rPr>
              <w:t>5.69</w:t>
            </w:r>
          </w:p>
        </w:tc>
        <w:tc>
          <w:tcPr>
            <w:tcW w:type="dxa" w:w="1450"/>
            <w:vAlign w:val="center"/>
          </w:tcPr>
          <w:p>
            <w:pPr>
              <w:spacing w:after="0" w:line="211" w:lineRule="auto"/>
              <w:jc w:val="center"/>
            </w:pPr>
            <w:r>
              <w:rPr>
                <w:rFonts w:ascii="Times New Roman" w:hAnsi="Times New Roman" w:eastAsia="Times New Roman"/>
                <w:sz w:val="12"/>
              </w:rPr>
              <w:t>0.9058</w:t>
            </w:r>
          </w:p>
        </w:tc>
        <w:tc>
          <w:tcPr>
            <w:tcW w:type="dxa" w:w="1450"/>
            <w:vAlign w:val="center"/>
          </w:tcPr>
          <w:p>
            <w:pPr>
              <w:spacing w:after="0" w:line="211" w:lineRule="auto"/>
              <w:jc w:val="center"/>
            </w:pPr>
            <w:r>
              <w:rPr>
                <w:rFonts w:ascii="Times New Roman" w:hAnsi="Times New Roman" w:eastAsia="Times New Roman"/>
                <w:sz w:val="12"/>
              </w:rPr>
              <w:t>47.45</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9.7697</w:t>
            </w:r>
          </w:p>
        </w:tc>
        <w:tc>
          <w:tcPr>
            <w:tcW w:type="dxa" w:w="1450"/>
            <w:vAlign w:val="center"/>
          </w:tcPr>
          <w:p>
            <w:pPr>
              <w:spacing w:after="0" w:line="211" w:lineRule="auto"/>
              <w:jc w:val="center"/>
            </w:pPr>
            <w:r>
              <w:rPr>
                <w:rFonts w:ascii="Times New Roman" w:hAnsi="Times New Roman" w:eastAsia="Times New Roman"/>
                <w:sz w:val="12"/>
              </w:rPr>
              <w:t>18.8569</w:t>
            </w:r>
          </w:p>
        </w:tc>
        <w:tc>
          <w:tcPr>
            <w:tcW w:type="dxa" w:w="1450"/>
            <w:vAlign w:val="center"/>
          </w:tcPr>
          <w:p>
            <w:pPr>
              <w:spacing w:after="0" w:line="211" w:lineRule="auto"/>
              <w:jc w:val="center"/>
            </w:pPr>
            <w:r>
              <w:rPr>
                <w:rFonts w:ascii="Times New Roman" w:hAnsi="Times New Roman" w:eastAsia="Times New Roman"/>
                <w:sz w:val="12"/>
              </w:rPr>
              <w:t>5.86</w:t>
            </w:r>
          </w:p>
        </w:tc>
        <w:tc>
          <w:tcPr>
            <w:tcW w:type="dxa" w:w="1450"/>
            <w:vAlign w:val="center"/>
          </w:tcPr>
          <w:p>
            <w:pPr>
              <w:spacing w:after="0" w:line="211" w:lineRule="auto"/>
              <w:jc w:val="center"/>
            </w:pPr>
            <w:r>
              <w:rPr>
                <w:rFonts w:ascii="Times New Roman" w:hAnsi="Times New Roman" w:eastAsia="Times New Roman"/>
                <w:sz w:val="12"/>
              </w:rPr>
              <w:t>0.8967</w:t>
            </w:r>
          </w:p>
        </w:tc>
        <w:tc>
          <w:tcPr>
            <w:tcW w:type="dxa" w:w="1450"/>
            <w:vAlign w:val="center"/>
          </w:tcPr>
          <w:p>
            <w:pPr>
              <w:spacing w:after="0" w:line="211" w:lineRule="auto"/>
              <w:jc w:val="center"/>
            </w:pPr>
            <w:r>
              <w:rPr>
                <w:rFonts w:ascii="Times New Roman" w:hAnsi="Times New Roman" w:eastAsia="Times New Roman"/>
                <w:sz w:val="12"/>
              </w:rPr>
              <w:t>44.90</w:t>
            </w:r>
          </w:p>
        </w:tc>
      </w:tr>
      <w:tr>
        <w:tc>
          <w:tcPr>
            <w:tcW w:type="dxa" w:w="1450"/>
            <w:vAlign w:val="center"/>
          </w:tcPr>
          <w:p>
            <w:pPr>
              <w:spacing w:after="0" w:line="211" w:lineRule="auto"/>
              <w:jc w:val="center"/>
            </w:pPr>
            <w:r>
              <w:rPr>
                <w:rFonts w:ascii="Times New Roman" w:hAnsi="Times New Roman" w:eastAsia="Times New Roman"/>
                <w:sz w:val="12"/>
              </w:rPr>
              <w:t>H3</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9.4605</w:t>
            </w:r>
          </w:p>
        </w:tc>
        <w:tc>
          <w:tcPr>
            <w:tcW w:type="dxa" w:w="1450"/>
            <w:vAlign w:val="center"/>
          </w:tcPr>
          <w:p>
            <w:pPr>
              <w:spacing w:after="0" w:line="211" w:lineRule="auto"/>
              <w:jc w:val="center"/>
            </w:pPr>
            <w:r>
              <w:rPr>
                <w:rFonts w:ascii="Times New Roman" w:hAnsi="Times New Roman" w:eastAsia="Times New Roman"/>
                <w:sz w:val="12"/>
              </w:rPr>
              <w:t>18.4546</w:t>
            </w:r>
          </w:p>
        </w:tc>
        <w:tc>
          <w:tcPr>
            <w:tcW w:type="dxa" w:w="1450"/>
            <w:vAlign w:val="center"/>
          </w:tcPr>
          <w:p>
            <w:pPr>
              <w:spacing w:after="0" w:line="211" w:lineRule="auto"/>
              <w:jc w:val="center"/>
            </w:pPr>
            <w:r>
              <w:rPr>
                <w:rFonts w:ascii="Times New Roman" w:hAnsi="Times New Roman" w:eastAsia="Times New Roman"/>
                <w:sz w:val="12"/>
              </w:rPr>
              <w:t>5.61</w:t>
            </w:r>
          </w:p>
        </w:tc>
        <w:tc>
          <w:tcPr>
            <w:tcW w:type="dxa" w:w="1450"/>
            <w:vAlign w:val="center"/>
          </w:tcPr>
          <w:p>
            <w:pPr>
              <w:spacing w:after="0" w:line="211" w:lineRule="auto"/>
              <w:jc w:val="center"/>
            </w:pPr>
            <w:r>
              <w:rPr>
                <w:rFonts w:ascii="Times New Roman" w:hAnsi="Times New Roman" w:eastAsia="Times New Roman"/>
                <w:sz w:val="12"/>
              </w:rPr>
              <w:t>0.9010</w:t>
            </w:r>
          </w:p>
        </w:tc>
        <w:tc>
          <w:tcPr>
            <w:tcW w:type="dxa" w:w="1450"/>
            <w:vAlign w:val="center"/>
          </w:tcPr>
          <w:p>
            <w:pPr>
              <w:spacing w:after="0" w:line="211" w:lineRule="auto"/>
              <w:jc w:val="center"/>
            </w:pPr>
            <w:r>
              <w:rPr>
                <w:rFonts w:ascii="Times New Roman" w:hAnsi="Times New Roman" w:eastAsia="Times New Roman"/>
                <w:sz w:val="12"/>
              </w:rPr>
              <w:t>45.92</w:t>
            </w:r>
          </w:p>
        </w:tc>
      </w:tr>
      <w:tr>
        <w:tc>
          <w:tcPr>
            <w:tcW w:type="dxa" w:w="1450"/>
            <w:vAlign w:val="center"/>
          </w:tcPr>
          <w:p>
            <w:pPr>
              <w:spacing w:after="0" w:line="211" w:lineRule="auto"/>
              <w:jc w:val="center"/>
            </w:pPr>
            <w:r>
              <w:rPr>
                <w:rFonts w:ascii="Times New Roman" w:hAnsi="Times New Roman" w:eastAsia="Times New Roman"/>
                <w:b/>
                <w:sz w:val="12"/>
              </w:rPr>
              <w:t>H5</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9.2159</w:t>
            </w:r>
          </w:p>
        </w:tc>
        <w:tc>
          <w:tcPr>
            <w:tcW w:type="dxa" w:w="1450"/>
            <w:vAlign w:val="center"/>
          </w:tcPr>
          <w:p>
            <w:pPr>
              <w:spacing w:after="0" w:line="211" w:lineRule="auto"/>
              <w:jc w:val="center"/>
            </w:pPr>
            <w:r>
              <w:rPr>
                <w:rFonts w:ascii="Times New Roman" w:hAnsi="Times New Roman" w:eastAsia="Times New Roman"/>
                <w:b/>
                <w:sz w:val="12"/>
              </w:rPr>
              <w:t>16.2954</w:t>
            </w:r>
          </w:p>
        </w:tc>
        <w:tc>
          <w:tcPr>
            <w:tcW w:type="dxa" w:w="1450"/>
            <w:vAlign w:val="center"/>
          </w:tcPr>
          <w:p>
            <w:pPr>
              <w:spacing w:after="0" w:line="211" w:lineRule="auto"/>
              <w:jc w:val="center"/>
            </w:pPr>
            <w:r>
              <w:rPr>
                <w:rFonts w:ascii="Times New Roman" w:hAnsi="Times New Roman" w:eastAsia="Times New Roman"/>
                <w:b/>
                <w:sz w:val="12"/>
              </w:rPr>
              <w:t>5.65</w:t>
            </w:r>
          </w:p>
        </w:tc>
        <w:tc>
          <w:tcPr>
            <w:tcW w:type="dxa" w:w="1450"/>
            <w:vAlign w:val="center"/>
          </w:tcPr>
          <w:p>
            <w:pPr>
              <w:spacing w:after="0" w:line="211" w:lineRule="auto"/>
              <w:jc w:val="center"/>
            </w:pPr>
            <w:r>
              <w:rPr>
                <w:rFonts w:ascii="Times New Roman" w:hAnsi="Times New Roman" w:eastAsia="Times New Roman"/>
                <w:b/>
                <w:sz w:val="12"/>
              </w:rPr>
              <w:t>0.9225</w:t>
            </w:r>
          </w:p>
        </w:tc>
        <w:tc>
          <w:tcPr>
            <w:tcW w:type="dxa" w:w="1450"/>
            <w:vAlign w:val="center"/>
          </w:tcPr>
          <w:p>
            <w:pPr>
              <w:spacing w:after="0" w:line="211" w:lineRule="auto"/>
              <w:jc w:val="center"/>
            </w:pPr>
            <w:r>
              <w:rPr>
                <w:rFonts w:ascii="Times New Roman" w:hAnsi="Times New Roman" w:eastAsia="Times New Roman"/>
                <w:b/>
                <w:sz w:val="12"/>
              </w:rPr>
              <w:t>76.88</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10.6900</w:t>
            </w:r>
          </w:p>
        </w:tc>
        <w:tc>
          <w:tcPr>
            <w:tcW w:type="dxa" w:w="1450"/>
            <w:vAlign w:val="center"/>
          </w:tcPr>
          <w:p>
            <w:pPr>
              <w:spacing w:after="0" w:line="211" w:lineRule="auto"/>
              <w:jc w:val="center"/>
            </w:pPr>
            <w:r>
              <w:rPr>
                <w:rFonts w:ascii="Times New Roman" w:hAnsi="Times New Roman" w:eastAsia="Times New Roman"/>
                <w:sz w:val="12"/>
              </w:rPr>
              <w:t>18.1687</w:t>
            </w:r>
          </w:p>
        </w:tc>
        <w:tc>
          <w:tcPr>
            <w:tcW w:type="dxa" w:w="1450"/>
            <w:vAlign w:val="center"/>
          </w:tcPr>
          <w:p>
            <w:pPr>
              <w:spacing w:after="0" w:line="211" w:lineRule="auto"/>
              <w:jc w:val="center"/>
            </w:pPr>
            <w:r>
              <w:rPr>
                <w:rFonts w:ascii="Times New Roman" w:hAnsi="Times New Roman" w:eastAsia="Times New Roman"/>
                <w:sz w:val="12"/>
              </w:rPr>
              <w:t>6.25</w:t>
            </w:r>
          </w:p>
        </w:tc>
        <w:tc>
          <w:tcPr>
            <w:tcW w:type="dxa" w:w="1450"/>
            <w:vAlign w:val="center"/>
          </w:tcPr>
          <w:p>
            <w:pPr>
              <w:spacing w:after="0" w:line="211" w:lineRule="auto"/>
              <w:jc w:val="center"/>
            </w:pPr>
            <w:r>
              <w:rPr>
                <w:rFonts w:ascii="Times New Roman" w:hAnsi="Times New Roman" w:eastAsia="Times New Roman"/>
                <w:sz w:val="12"/>
              </w:rPr>
              <w:t>0.9036</w:t>
            </w:r>
          </w:p>
        </w:tc>
        <w:tc>
          <w:tcPr>
            <w:tcW w:type="dxa" w:w="1450"/>
            <w:vAlign w:val="center"/>
          </w:tcPr>
          <w:p>
            <w:pPr>
              <w:spacing w:after="0" w:line="211" w:lineRule="auto"/>
              <w:jc w:val="center"/>
            </w:pPr>
            <w:r>
              <w:rPr>
                <w:rFonts w:ascii="Times New Roman" w:hAnsi="Times New Roman" w:eastAsia="Times New Roman"/>
                <w:sz w:val="12"/>
              </w:rPr>
              <w:t>52.02</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10.0784</w:t>
            </w:r>
          </w:p>
        </w:tc>
        <w:tc>
          <w:tcPr>
            <w:tcW w:type="dxa" w:w="1450"/>
            <w:vAlign w:val="center"/>
          </w:tcPr>
          <w:p>
            <w:pPr>
              <w:spacing w:after="0" w:line="211" w:lineRule="auto"/>
              <w:jc w:val="center"/>
            </w:pPr>
            <w:r>
              <w:rPr>
                <w:rFonts w:ascii="Times New Roman" w:hAnsi="Times New Roman" w:eastAsia="Times New Roman"/>
                <w:sz w:val="12"/>
              </w:rPr>
              <w:t>17.0064</w:t>
            </w:r>
          </w:p>
        </w:tc>
        <w:tc>
          <w:tcPr>
            <w:tcW w:type="dxa" w:w="1450"/>
            <w:vAlign w:val="center"/>
          </w:tcPr>
          <w:p>
            <w:pPr>
              <w:spacing w:after="0" w:line="211" w:lineRule="auto"/>
              <w:jc w:val="center"/>
            </w:pPr>
            <w:r>
              <w:rPr>
                <w:rFonts w:ascii="Times New Roman" w:hAnsi="Times New Roman" w:eastAsia="Times New Roman"/>
                <w:sz w:val="12"/>
              </w:rPr>
              <w:t>6.14</w:t>
            </w:r>
          </w:p>
        </w:tc>
        <w:tc>
          <w:tcPr>
            <w:tcW w:type="dxa" w:w="1450"/>
            <w:vAlign w:val="center"/>
          </w:tcPr>
          <w:p>
            <w:pPr>
              <w:spacing w:after="0" w:line="211" w:lineRule="auto"/>
              <w:jc w:val="center"/>
            </w:pPr>
            <w:r>
              <w:rPr>
                <w:rFonts w:ascii="Times New Roman" w:hAnsi="Times New Roman" w:eastAsia="Times New Roman"/>
                <w:sz w:val="12"/>
              </w:rPr>
              <w:t>0.9156</w:t>
            </w:r>
          </w:p>
        </w:tc>
        <w:tc>
          <w:tcPr>
            <w:tcW w:type="dxa" w:w="1450"/>
            <w:vAlign w:val="center"/>
          </w:tcPr>
          <w:p>
            <w:pPr>
              <w:spacing w:after="0" w:line="211" w:lineRule="auto"/>
              <w:jc w:val="center"/>
            </w:pPr>
            <w:r>
              <w:rPr>
                <w:rFonts w:ascii="Times New Roman" w:hAnsi="Times New Roman" w:eastAsia="Times New Roman"/>
                <w:sz w:val="12"/>
              </w:rPr>
              <w:t>52.53</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11.5665</w:t>
            </w:r>
          </w:p>
        </w:tc>
        <w:tc>
          <w:tcPr>
            <w:tcW w:type="dxa" w:w="1450"/>
            <w:vAlign w:val="center"/>
          </w:tcPr>
          <w:p>
            <w:pPr>
              <w:spacing w:after="0" w:line="211" w:lineRule="auto"/>
              <w:jc w:val="center"/>
            </w:pPr>
            <w:r>
              <w:rPr>
                <w:rFonts w:ascii="Times New Roman" w:hAnsi="Times New Roman" w:eastAsia="Times New Roman"/>
                <w:sz w:val="12"/>
              </w:rPr>
              <w:t>19.6444</w:t>
            </w:r>
          </w:p>
        </w:tc>
        <w:tc>
          <w:tcPr>
            <w:tcW w:type="dxa" w:w="1450"/>
            <w:vAlign w:val="center"/>
          </w:tcPr>
          <w:p>
            <w:pPr>
              <w:spacing w:after="0" w:line="211" w:lineRule="auto"/>
              <w:jc w:val="center"/>
            </w:pPr>
            <w:r>
              <w:rPr>
                <w:rFonts w:ascii="Times New Roman" w:hAnsi="Times New Roman" w:eastAsia="Times New Roman"/>
                <w:sz w:val="12"/>
              </w:rPr>
              <w:t>6.87</w:t>
            </w:r>
          </w:p>
        </w:tc>
        <w:tc>
          <w:tcPr>
            <w:tcW w:type="dxa" w:w="1450"/>
            <w:vAlign w:val="center"/>
          </w:tcPr>
          <w:p>
            <w:pPr>
              <w:spacing w:after="0" w:line="211" w:lineRule="auto"/>
              <w:jc w:val="center"/>
            </w:pPr>
            <w:r>
              <w:rPr>
                <w:rFonts w:ascii="Times New Roman" w:hAnsi="Times New Roman" w:eastAsia="Times New Roman"/>
                <w:sz w:val="12"/>
              </w:rPr>
              <w:t>0.8873</w:t>
            </w:r>
          </w:p>
        </w:tc>
        <w:tc>
          <w:tcPr>
            <w:tcW w:type="dxa" w:w="1450"/>
            <w:vAlign w:val="center"/>
          </w:tcPr>
          <w:p>
            <w:pPr>
              <w:spacing w:after="0" w:line="211" w:lineRule="auto"/>
              <w:jc w:val="center"/>
            </w:pPr>
            <w:r>
              <w:rPr>
                <w:rFonts w:ascii="Times New Roman" w:hAnsi="Times New Roman" w:eastAsia="Times New Roman"/>
                <w:sz w:val="12"/>
              </w:rPr>
              <w:t>47.98</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11.4410</w:t>
            </w:r>
          </w:p>
        </w:tc>
        <w:tc>
          <w:tcPr>
            <w:tcW w:type="dxa" w:w="1450"/>
            <w:vAlign w:val="center"/>
          </w:tcPr>
          <w:p>
            <w:pPr>
              <w:spacing w:after="0" w:line="211" w:lineRule="auto"/>
              <w:jc w:val="center"/>
            </w:pPr>
            <w:r>
              <w:rPr>
                <w:rFonts w:ascii="Times New Roman" w:hAnsi="Times New Roman" w:eastAsia="Times New Roman"/>
                <w:sz w:val="12"/>
              </w:rPr>
              <w:t>19.0864</w:t>
            </w:r>
          </w:p>
        </w:tc>
        <w:tc>
          <w:tcPr>
            <w:tcW w:type="dxa" w:w="1450"/>
            <w:vAlign w:val="center"/>
          </w:tcPr>
          <w:p>
            <w:pPr>
              <w:spacing w:after="0" w:line="211" w:lineRule="auto"/>
              <w:jc w:val="center"/>
            </w:pPr>
            <w:r>
              <w:rPr>
                <w:rFonts w:ascii="Times New Roman" w:hAnsi="Times New Roman" w:eastAsia="Times New Roman"/>
                <w:sz w:val="12"/>
              </w:rPr>
              <w:t>6.83</w:t>
            </w:r>
          </w:p>
        </w:tc>
        <w:tc>
          <w:tcPr>
            <w:tcW w:type="dxa" w:w="1450"/>
            <w:vAlign w:val="center"/>
          </w:tcPr>
          <w:p>
            <w:pPr>
              <w:spacing w:after="0" w:line="211" w:lineRule="auto"/>
              <w:jc w:val="center"/>
            </w:pPr>
            <w:r>
              <w:rPr>
                <w:rFonts w:ascii="Times New Roman" w:hAnsi="Times New Roman" w:eastAsia="Times New Roman"/>
                <w:sz w:val="12"/>
              </w:rPr>
              <w:t>0.8936</w:t>
            </w:r>
          </w:p>
        </w:tc>
        <w:tc>
          <w:tcPr>
            <w:tcW w:type="dxa" w:w="1450"/>
            <w:vAlign w:val="center"/>
          </w:tcPr>
          <w:p>
            <w:pPr>
              <w:spacing w:after="0" w:line="211" w:lineRule="auto"/>
              <w:jc w:val="center"/>
            </w:pPr>
            <w:r>
              <w:rPr>
                <w:rFonts w:ascii="Times New Roman" w:hAnsi="Times New Roman" w:eastAsia="Times New Roman"/>
                <w:sz w:val="12"/>
              </w:rPr>
              <w:t>41.41</w:t>
            </w:r>
          </w:p>
        </w:tc>
      </w:tr>
      <w:tr>
        <w:tc>
          <w:tcPr>
            <w:tcW w:type="dxa" w:w="1450"/>
            <w:vAlign w:val="center"/>
          </w:tcPr>
          <w:p>
            <w:pPr>
              <w:spacing w:after="0" w:line="211" w:lineRule="auto"/>
              <w:jc w:val="center"/>
            </w:pPr>
            <w:r>
              <w:rPr>
                <w:rFonts w:ascii="Times New Roman" w:hAnsi="Times New Roman" w:eastAsia="Times New Roman"/>
                <w:sz w:val="12"/>
              </w:rPr>
              <w:t>H5</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10.5636</w:t>
            </w:r>
          </w:p>
        </w:tc>
        <w:tc>
          <w:tcPr>
            <w:tcW w:type="dxa" w:w="1450"/>
            <w:vAlign w:val="center"/>
          </w:tcPr>
          <w:p>
            <w:pPr>
              <w:spacing w:after="0" w:line="211" w:lineRule="auto"/>
              <w:jc w:val="center"/>
            </w:pPr>
            <w:r>
              <w:rPr>
                <w:rFonts w:ascii="Times New Roman" w:hAnsi="Times New Roman" w:eastAsia="Times New Roman"/>
                <w:sz w:val="12"/>
              </w:rPr>
              <w:t>17.5114</w:t>
            </w:r>
          </w:p>
        </w:tc>
        <w:tc>
          <w:tcPr>
            <w:tcW w:type="dxa" w:w="1450"/>
            <w:vAlign w:val="center"/>
          </w:tcPr>
          <w:p>
            <w:pPr>
              <w:spacing w:after="0" w:line="211" w:lineRule="auto"/>
              <w:jc w:val="center"/>
            </w:pPr>
            <w:r>
              <w:rPr>
                <w:rFonts w:ascii="Times New Roman" w:hAnsi="Times New Roman" w:eastAsia="Times New Roman"/>
                <w:sz w:val="12"/>
              </w:rPr>
              <w:t>6.27</w:t>
            </w:r>
          </w:p>
        </w:tc>
        <w:tc>
          <w:tcPr>
            <w:tcW w:type="dxa" w:w="1450"/>
            <w:vAlign w:val="center"/>
          </w:tcPr>
          <w:p>
            <w:pPr>
              <w:spacing w:after="0" w:line="211" w:lineRule="auto"/>
              <w:jc w:val="center"/>
            </w:pPr>
            <w:r>
              <w:rPr>
                <w:rFonts w:ascii="Times New Roman" w:hAnsi="Times New Roman" w:eastAsia="Times New Roman"/>
                <w:sz w:val="12"/>
              </w:rPr>
              <w:t>0.9105</w:t>
            </w:r>
          </w:p>
        </w:tc>
        <w:tc>
          <w:tcPr>
            <w:tcW w:type="dxa" w:w="1450"/>
            <w:vAlign w:val="center"/>
          </w:tcPr>
          <w:p>
            <w:pPr>
              <w:spacing w:after="0" w:line="211" w:lineRule="auto"/>
              <w:jc w:val="center"/>
            </w:pPr>
            <w:r>
              <w:rPr>
                <w:rFonts w:ascii="Times New Roman" w:hAnsi="Times New Roman" w:eastAsia="Times New Roman"/>
                <w:sz w:val="12"/>
              </w:rPr>
              <w:t>53.54</w:t>
            </w:r>
          </w:p>
        </w:tc>
      </w:tr>
      <w:tr>
        <w:tc>
          <w:tcPr>
            <w:tcW w:type="dxa" w:w="1450"/>
            <w:vAlign w:val="center"/>
          </w:tcPr>
          <w:p>
            <w:pPr>
              <w:spacing w:after="0" w:line="211" w:lineRule="auto"/>
              <w:jc w:val="center"/>
            </w:pPr>
            <w:r>
              <w:rPr>
                <w:rFonts w:ascii="Times New Roman" w:hAnsi="Times New Roman" w:eastAsia="Times New Roman"/>
                <w:b/>
                <w:sz w:val="12"/>
              </w:rPr>
              <w:t>H7</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9.6578</w:t>
            </w:r>
          </w:p>
        </w:tc>
        <w:tc>
          <w:tcPr>
            <w:tcW w:type="dxa" w:w="1450"/>
            <w:vAlign w:val="center"/>
          </w:tcPr>
          <w:p>
            <w:pPr>
              <w:spacing w:after="0" w:line="211" w:lineRule="auto"/>
              <w:jc w:val="center"/>
            </w:pPr>
            <w:r>
              <w:rPr>
                <w:rFonts w:ascii="Times New Roman" w:hAnsi="Times New Roman" w:eastAsia="Times New Roman"/>
                <w:b/>
                <w:sz w:val="12"/>
              </w:rPr>
              <w:t>18.3317</w:t>
            </w:r>
          </w:p>
        </w:tc>
        <w:tc>
          <w:tcPr>
            <w:tcW w:type="dxa" w:w="1450"/>
            <w:vAlign w:val="center"/>
          </w:tcPr>
          <w:p>
            <w:pPr>
              <w:spacing w:after="0" w:line="211" w:lineRule="auto"/>
              <w:jc w:val="center"/>
            </w:pPr>
            <w:r>
              <w:rPr>
                <w:rFonts w:ascii="Times New Roman" w:hAnsi="Times New Roman" w:eastAsia="Times New Roman"/>
                <w:b/>
                <w:sz w:val="12"/>
              </w:rPr>
              <w:t>6.46</w:t>
            </w:r>
          </w:p>
        </w:tc>
        <w:tc>
          <w:tcPr>
            <w:tcW w:type="dxa" w:w="1450"/>
            <w:vAlign w:val="center"/>
          </w:tcPr>
          <w:p>
            <w:pPr>
              <w:spacing w:after="0" w:line="211" w:lineRule="auto"/>
              <w:jc w:val="center"/>
            </w:pPr>
            <w:r>
              <w:rPr>
                <w:rFonts w:ascii="Times New Roman" w:hAnsi="Times New Roman" w:eastAsia="Times New Roman"/>
                <w:b/>
                <w:sz w:val="12"/>
              </w:rPr>
              <w:t>0.8733</w:t>
            </w:r>
          </w:p>
        </w:tc>
        <w:tc>
          <w:tcPr>
            <w:tcW w:type="dxa" w:w="1450"/>
            <w:vAlign w:val="center"/>
          </w:tcPr>
          <w:p>
            <w:pPr>
              <w:spacing w:after="0" w:line="211" w:lineRule="auto"/>
              <w:jc w:val="center"/>
            </w:pPr>
            <w:r>
              <w:rPr>
                <w:rFonts w:ascii="Times New Roman" w:hAnsi="Times New Roman" w:eastAsia="Times New Roman"/>
                <w:b/>
                <w:sz w:val="12"/>
              </w:rPr>
              <w:t>83.28</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11.0491</w:t>
            </w:r>
          </w:p>
        </w:tc>
        <w:tc>
          <w:tcPr>
            <w:tcW w:type="dxa" w:w="1450"/>
            <w:vAlign w:val="center"/>
          </w:tcPr>
          <w:p>
            <w:pPr>
              <w:spacing w:after="0" w:line="211" w:lineRule="auto"/>
              <w:jc w:val="center"/>
            </w:pPr>
            <w:r>
              <w:rPr>
                <w:rFonts w:ascii="Times New Roman" w:hAnsi="Times New Roman" w:eastAsia="Times New Roman"/>
                <w:sz w:val="12"/>
              </w:rPr>
              <w:t>21.2867</w:t>
            </w:r>
          </w:p>
        </w:tc>
        <w:tc>
          <w:tcPr>
            <w:tcW w:type="dxa" w:w="1450"/>
            <w:vAlign w:val="center"/>
          </w:tcPr>
          <w:p>
            <w:pPr>
              <w:spacing w:after="0" w:line="211" w:lineRule="auto"/>
              <w:jc w:val="center"/>
            </w:pPr>
            <w:r>
              <w:rPr>
                <w:rFonts w:ascii="Times New Roman" w:hAnsi="Times New Roman" w:eastAsia="Times New Roman"/>
                <w:sz w:val="12"/>
              </w:rPr>
              <w:t>7.22</w:t>
            </w:r>
          </w:p>
        </w:tc>
        <w:tc>
          <w:tcPr>
            <w:tcW w:type="dxa" w:w="1450"/>
            <w:vAlign w:val="center"/>
          </w:tcPr>
          <w:p>
            <w:pPr>
              <w:spacing w:after="0" w:line="211" w:lineRule="auto"/>
              <w:jc w:val="center"/>
            </w:pPr>
            <w:r>
              <w:rPr>
                <w:rFonts w:ascii="Times New Roman" w:hAnsi="Times New Roman" w:eastAsia="Times New Roman"/>
                <w:sz w:val="12"/>
              </w:rPr>
              <w:t>0.8292</w:t>
            </w:r>
          </w:p>
        </w:tc>
        <w:tc>
          <w:tcPr>
            <w:tcW w:type="dxa" w:w="1450"/>
            <w:vAlign w:val="center"/>
          </w:tcPr>
          <w:p>
            <w:pPr>
              <w:spacing w:after="0" w:line="211" w:lineRule="auto"/>
              <w:jc w:val="center"/>
            </w:pPr>
            <w:r>
              <w:rPr>
                <w:rFonts w:ascii="Times New Roman" w:hAnsi="Times New Roman" w:eastAsia="Times New Roman"/>
                <w:sz w:val="12"/>
              </w:rPr>
              <w:t>50.68</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11.0220</w:t>
            </w:r>
          </w:p>
        </w:tc>
        <w:tc>
          <w:tcPr>
            <w:tcW w:type="dxa" w:w="1450"/>
            <w:vAlign w:val="center"/>
          </w:tcPr>
          <w:p>
            <w:pPr>
              <w:spacing w:after="0" w:line="211" w:lineRule="auto"/>
              <w:jc w:val="center"/>
            </w:pPr>
            <w:r>
              <w:rPr>
                <w:rFonts w:ascii="Times New Roman" w:hAnsi="Times New Roman" w:eastAsia="Times New Roman"/>
                <w:sz w:val="12"/>
              </w:rPr>
              <w:t>22.1113</w:t>
            </w:r>
          </w:p>
        </w:tc>
        <w:tc>
          <w:tcPr>
            <w:tcW w:type="dxa" w:w="1450"/>
            <w:vAlign w:val="center"/>
          </w:tcPr>
          <w:p>
            <w:pPr>
              <w:spacing w:after="0" w:line="211" w:lineRule="auto"/>
              <w:jc w:val="center"/>
            </w:pPr>
            <w:r>
              <w:rPr>
                <w:rFonts w:ascii="Times New Roman" w:hAnsi="Times New Roman" w:eastAsia="Times New Roman"/>
                <w:sz w:val="12"/>
              </w:rPr>
              <w:t>7.28</w:t>
            </w:r>
          </w:p>
        </w:tc>
        <w:tc>
          <w:tcPr>
            <w:tcW w:type="dxa" w:w="1450"/>
            <w:vAlign w:val="center"/>
          </w:tcPr>
          <w:p>
            <w:pPr>
              <w:spacing w:after="0" w:line="211" w:lineRule="auto"/>
              <w:jc w:val="center"/>
            </w:pPr>
            <w:r>
              <w:rPr>
                <w:rFonts w:ascii="Times New Roman" w:hAnsi="Times New Roman" w:eastAsia="Times New Roman"/>
                <w:sz w:val="12"/>
              </w:rPr>
              <w:t>0.8157</w:t>
            </w:r>
          </w:p>
        </w:tc>
        <w:tc>
          <w:tcPr>
            <w:tcW w:type="dxa" w:w="1450"/>
            <w:vAlign w:val="center"/>
          </w:tcPr>
          <w:p>
            <w:pPr>
              <w:spacing w:after="0" w:line="211" w:lineRule="auto"/>
              <w:jc w:val="center"/>
            </w:pPr>
            <w:r>
              <w:rPr>
                <w:rFonts w:ascii="Times New Roman" w:hAnsi="Times New Roman" w:eastAsia="Times New Roman"/>
                <w:sz w:val="12"/>
              </w:rPr>
              <w:t>57.88</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11.7217</w:t>
            </w:r>
          </w:p>
        </w:tc>
        <w:tc>
          <w:tcPr>
            <w:tcW w:type="dxa" w:w="1450"/>
            <w:vAlign w:val="center"/>
          </w:tcPr>
          <w:p>
            <w:pPr>
              <w:spacing w:after="0" w:line="211" w:lineRule="auto"/>
              <w:jc w:val="center"/>
            </w:pPr>
            <w:r>
              <w:rPr>
                <w:rFonts w:ascii="Times New Roman" w:hAnsi="Times New Roman" w:eastAsia="Times New Roman"/>
                <w:sz w:val="12"/>
              </w:rPr>
              <w:t>23.1415</w:t>
            </w:r>
          </w:p>
        </w:tc>
        <w:tc>
          <w:tcPr>
            <w:tcW w:type="dxa" w:w="1450"/>
            <w:vAlign w:val="center"/>
          </w:tcPr>
          <w:p>
            <w:pPr>
              <w:spacing w:after="0" w:line="211" w:lineRule="auto"/>
              <w:jc w:val="center"/>
            </w:pPr>
            <w:r>
              <w:rPr>
                <w:rFonts w:ascii="Times New Roman" w:hAnsi="Times New Roman" w:eastAsia="Times New Roman"/>
                <w:sz w:val="12"/>
              </w:rPr>
              <w:t>7.70</w:t>
            </w:r>
          </w:p>
        </w:tc>
        <w:tc>
          <w:tcPr>
            <w:tcW w:type="dxa" w:w="1450"/>
            <w:vAlign w:val="center"/>
          </w:tcPr>
          <w:p>
            <w:pPr>
              <w:spacing w:after="0" w:line="211" w:lineRule="auto"/>
              <w:jc w:val="center"/>
            </w:pPr>
            <w:r>
              <w:rPr>
                <w:rFonts w:ascii="Times New Roman" w:hAnsi="Times New Roman" w:eastAsia="Times New Roman"/>
                <w:sz w:val="12"/>
              </w:rPr>
              <w:t>0.7981</w:t>
            </w:r>
          </w:p>
        </w:tc>
        <w:tc>
          <w:tcPr>
            <w:tcW w:type="dxa" w:w="1450"/>
            <w:vAlign w:val="center"/>
          </w:tcPr>
          <w:p>
            <w:pPr>
              <w:spacing w:after="0" w:line="211" w:lineRule="auto"/>
              <w:jc w:val="center"/>
            </w:pPr>
            <w:r>
              <w:rPr>
                <w:rFonts w:ascii="Times New Roman" w:hAnsi="Times New Roman" w:eastAsia="Times New Roman"/>
                <w:sz w:val="12"/>
              </w:rPr>
              <w:t>51.37</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10.3087</w:t>
            </w:r>
          </w:p>
        </w:tc>
        <w:tc>
          <w:tcPr>
            <w:tcW w:type="dxa" w:w="1450"/>
            <w:vAlign w:val="center"/>
          </w:tcPr>
          <w:p>
            <w:pPr>
              <w:spacing w:after="0" w:line="211" w:lineRule="auto"/>
              <w:jc w:val="center"/>
            </w:pPr>
            <w:r>
              <w:rPr>
                <w:rFonts w:ascii="Times New Roman" w:hAnsi="Times New Roman" w:eastAsia="Times New Roman"/>
                <w:sz w:val="12"/>
              </w:rPr>
              <w:t>20.3122</w:t>
            </w:r>
          </w:p>
        </w:tc>
        <w:tc>
          <w:tcPr>
            <w:tcW w:type="dxa" w:w="1450"/>
            <w:vAlign w:val="center"/>
          </w:tcPr>
          <w:p>
            <w:pPr>
              <w:spacing w:after="0" w:line="211" w:lineRule="auto"/>
              <w:jc w:val="center"/>
            </w:pPr>
            <w:r>
              <w:rPr>
                <w:rFonts w:ascii="Times New Roman" w:hAnsi="Times New Roman" w:eastAsia="Times New Roman"/>
                <w:sz w:val="12"/>
              </w:rPr>
              <w:t>6.79</w:t>
            </w:r>
          </w:p>
        </w:tc>
        <w:tc>
          <w:tcPr>
            <w:tcW w:type="dxa" w:w="1450"/>
            <w:vAlign w:val="center"/>
          </w:tcPr>
          <w:p>
            <w:pPr>
              <w:spacing w:after="0" w:line="211" w:lineRule="auto"/>
              <w:jc w:val="center"/>
            </w:pPr>
            <w:r>
              <w:rPr>
                <w:rFonts w:ascii="Times New Roman" w:hAnsi="Times New Roman" w:eastAsia="Times New Roman"/>
                <w:sz w:val="12"/>
              </w:rPr>
              <w:t>0.8444</w:t>
            </w:r>
          </w:p>
        </w:tc>
        <w:tc>
          <w:tcPr>
            <w:tcW w:type="dxa" w:w="1450"/>
            <w:vAlign w:val="center"/>
          </w:tcPr>
          <w:p>
            <w:pPr>
              <w:spacing w:after="0" w:line="211" w:lineRule="auto"/>
              <w:jc w:val="center"/>
            </w:pPr>
            <w:r>
              <w:rPr>
                <w:rFonts w:ascii="Times New Roman" w:hAnsi="Times New Roman" w:eastAsia="Times New Roman"/>
                <w:sz w:val="12"/>
              </w:rPr>
              <w:t>47.26</w:t>
            </w:r>
          </w:p>
        </w:tc>
      </w:tr>
      <w:tr>
        <w:tc>
          <w:tcPr>
            <w:tcW w:type="dxa" w:w="1450"/>
            <w:vAlign w:val="center"/>
          </w:tcPr>
          <w:p>
            <w:pPr>
              <w:spacing w:after="0" w:line="211" w:lineRule="auto"/>
              <w:jc w:val="center"/>
            </w:pPr>
            <w:r>
              <w:rPr>
                <w:rFonts w:ascii="Times New Roman" w:hAnsi="Times New Roman" w:eastAsia="Times New Roman"/>
                <w:sz w:val="12"/>
              </w:rPr>
              <w:t>H7</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11.4008</w:t>
            </w:r>
          </w:p>
        </w:tc>
        <w:tc>
          <w:tcPr>
            <w:tcW w:type="dxa" w:w="1450"/>
            <w:vAlign w:val="center"/>
          </w:tcPr>
          <w:p>
            <w:pPr>
              <w:spacing w:after="0" w:line="211" w:lineRule="auto"/>
              <w:jc w:val="center"/>
            </w:pPr>
            <w:r>
              <w:rPr>
                <w:rFonts w:ascii="Times New Roman" w:hAnsi="Times New Roman" w:eastAsia="Times New Roman"/>
                <w:sz w:val="12"/>
              </w:rPr>
              <w:t>23.0828</w:t>
            </w:r>
          </w:p>
        </w:tc>
        <w:tc>
          <w:tcPr>
            <w:tcW w:type="dxa" w:w="1450"/>
            <w:vAlign w:val="center"/>
          </w:tcPr>
          <w:p>
            <w:pPr>
              <w:spacing w:after="0" w:line="211" w:lineRule="auto"/>
              <w:jc w:val="center"/>
            </w:pPr>
            <w:r>
              <w:rPr>
                <w:rFonts w:ascii="Times New Roman" w:hAnsi="Times New Roman" w:eastAsia="Times New Roman"/>
                <w:sz w:val="12"/>
              </w:rPr>
              <w:t>7.46</w:t>
            </w:r>
          </w:p>
        </w:tc>
        <w:tc>
          <w:tcPr>
            <w:tcW w:type="dxa" w:w="1450"/>
            <w:vAlign w:val="center"/>
          </w:tcPr>
          <w:p>
            <w:pPr>
              <w:spacing w:after="0" w:line="211" w:lineRule="auto"/>
              <w:jc w:val="center"/>
            </w:pPr>
            <w:r>
              <w:rPr>
                <w:rFonts w:ascii="Times New Roman" w:hAnsi="Times New Roman" w:eastAsia="Times New Roman"/>
                <w:sz w:val="12"/>
              </w:rPr>
              <w:t>0.7991</w:t>
            </w:r>
          </w:p>
        </w:tc>
        <w:tc>
          <w:tcPr>
            <w:tcW w:type="dxa" w:w="1450"/>
            <w:vAlign w:val="center"/>
          </w:tcPr>
          <w:p>
            <w:pPr>
              <w:spacing w:after="0" w:line="211" w:lineRule="auto"/>
              <w:jc w:val="center"/>
            </w:pPr>
            <w:r>
              <w:rPr>
                <w:rFonts w:ascii="Times New Roman" w:hAnsi="Times New Roman" w:eastAsia="Times New Roman"/>
                <w:sz w:val="12"/>
              </w:rPr>
              <w:t>54.79</w:t>
            </w:r>
          </w:p>
        </w:tc>
      </w:tr>
      <w:tr>
        <w:tc>
          <w:tcPr>
            <w:tcW w:type="dxa" w:w="1450"/>
            <w:vAlign w:val="center"/>
          </w:tcPr>
          <w:p>
            <w:pPr>
              <w:spacing w:after="0" w:line="211" w:lineRule="auto"/>
              <w:jc w:val="center"/>
            </w:pPr>
            <w:r>
              <w:rPr>
                <w:rFonts w:ascii="Times New Roman" w:hAnsi="Times New Roman" w:eastAsia="Times New Roman"/>
                <w:b/>
                <w:sz w:val="12"/>
              </w:rPr>
              <w:t>H10</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9.1926</w:t>
            </w:r>
          </w:p>
        </w:tc>
        <w:tc>
          <w:tcPr>
            <w:tcW w:type="dxa" w:w="1450"/>
            <w:vAlign w:val="center"/>
          </w:tcPr>
          <w:p>
            <w:pPr>
              <w:spacing w:after="0" w:line="211" w:lineRule="auto"/>
              <w:jc w:val="center"/>
            </w:pPr>
            <w:r>
              <w:rPr>
                <w:rFonts w:ascii="Times New Roman" w:hAnsi="Times New Roman" w:eastAsia="Times New Roman"/>
                <w:b/>
                <w:sz w:val="12"/>
              </w:rPr>
              <w:t>18.3690</w:t>
            </w:r>
          </w:p>
        </w:tc>
        <w:tc>
          <w:tcPr>
            <w:tcW w:type="dxa" w:w="1450"/>
            <w:vAlign w:val="center"/>
          </w:tcPr>
          <w:p>
            <w:pPr>
              <w:spacing w:after="0" w:line="211" w:lineRule="auto"/>
              <w:jc w:val="center"/>
            </w:pPr>
            <w:r>
              <w:rPr>
                <w:rFonts w:ascii="Times New Roman" w:hAnsi="Times New Roman" w:eastAsia="Times New Roman"/>
                <w:b/>
                <w:sz w:val="12"/>
              </w:rPr>
              <w:t>6.16</w:t>
            </w:r>
          </w:p>
        </w:tc>
        <w:tc>
          <w:tcPr>
            <w:tcW w:type="dxa" w:w="1450"/>
            <w:vAlign w:val="center"/>
          </w:tcPr>
          <w:p>
            <w:pPr>
              <w:spacing w:after="0" w:line="211" w:lineRule="auto"/>
              <w:jc w:val="center"/>
            </w:pPr>
            <w:r>
              <w:rPr>
                <w:rFonts w:ascii="Times New Roman" w:hAnsi="Times New Roman" w:eastAsia="Times New Roman"/>
                <w:b/>
                <w:sz w:val="12"/>
              </w:rPr>
              <w:t>0.8433</w:t>
            </w:r>
          </w:p>
        </w:tc>
        <w:tc>
          <w:tcPr>
            <w:tcW w:type="dxa" w:w="1450"/>
            <w:vAlign w:val="center"/>
          </w:tcPr>
          <w:p>
            <w:pPr>
              <w:spacing w:after="0" w:line="211" w:lineRule="auto"/>
              <w:jc w:val="center"/>
            </w:pPr>
            <w:r>
              <w:rPr>
                <w:rFonts w:ascii="Times New Roman" w:hAnsi="Times New Roman" w:eastAsia="Times New Roman"/>
                <w:b/>
                <w:sz w:val="12"/>
              </w:rPr>
              <w:t>32.29</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9.7691</w:t>
            </w:r>
          </w:p>
        </w:tc>
        <w:tc>
          <w:tcPr>
            <w:tcW w:type="dxa" w:w="1450"/>
            <w:vAlign w:val="center"/>
          </w:tcPr>
          <w:p>
            <w:pPr>
              <w:spacing w:after="0" w:line="211" w:lineRule="auto"/>
              <w:jc w:val="center"/>
            </w:pPr>
            <w:r>
              <w:rPr>
                <w:rFonts w:ascii="Times New Roman" w:hAnsi="Times New Roman" w:eastAsia="Times New Roman"/>
                <w:sz w:val="12"/>
              </w:rPr>
              <w:t>19.9689</w:t>
            </w:r>
          </w:p>
        </w:tc>
        <w:tc>
          <w:tcPr>
            <w:tcW w:type="dxa" w:w="1450"/>
            <w:vAlign w:val="center"/>
          </w:tcPr>
          <w:p>
            <w:pPr>
              <w:spacing w:after="0" w:line="211" w:lineRule="auto"/>
              <w:jc w:val="center"/>
            </w:pPr>
            <w:r>
              <w:rPr>
                <w:rFonts w:ascii="Times New Roman" w:hAnsi="Times New Roman" w:eastAsia="Times New Roman"/>
                <w:sz w:val="12"/>
              </w:rPr>
              <w:t>6.54</w:t>
            </w:r>
          </w:p>
        </w:tc>
        <w:tc>
          <w:tcPr>
            <w:tcW w:type="dxa" w:w="1450"/>
            <w:vAlign w:val="center"/>
          </w:tcPr>
          <w:p>
            <w:pPr>
              <w:spacing w:after="0" w:line="211" w:lineRule="auto"/>
              <w:jc w:val="center"/>
            </w:pPr>
            <w:r>
              <w:rPr>
                <w:rFonts w:ascii="Times New Roman" w:hAnsi="Times New Roman" w:eastAsia="Times New Roman"/>
                <w:sz w:val="12"/>
              </w:rPr>
              <w:t>0.8145</w:t>
            </w:r>
          </w:p>
        </w:tc>
        <w:tc>
          <w:tcPr>
            <w:tcW w:type="dxa" w:w="1450"/>
            <w:vAlign w:val="center"/>
          </w:tcPr>
          <w:p>
            <w:pPr>
              <w:spacing w:after="0" w:line="211" w:lineRule="auto"/>
              <w:jc w:val="center"/>
            </w:pPr>
            <w:r>
              <w:rPr>
                <w:rFonts w:ascii="Times New Roman" w:hAnsi="Times New Roman" w:eastAsia="Times New Roman"/>
                <w:sz w:val="12"/>
              </w:rPr>
              <w:t>47.30</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9.8507</w:t>
            </w:r>
          </w:p>
        </w:tc>
        <w:tc>
          <w:tcPr>
            <w:tcW w:type="dxa" w:w="1450"/>
            <w:vAlign w:val="center"/>
          </w:tcPr>
          <w:p>
            <w:pPr>
              <w:spacing w:after="0" w:line="211" w:lineRule="auto"/>
              <w:jc w:val="center"/>
            </w:pPr>
            <w:r>
              <w:rPr>
                <w:rFonts w:ascii="Times New Roman" w:hAnsi="Times New Roman" w:eastAsia="Times New Roman"/>
                <w:sz w:val="12"/>
              </w:rPr>
              <w:t>20.6902</w:t>
            </w:r>
          </w:p>
        </w:tc>
        <w:tc>
          <w:tcPr>
            <w:tcW w:type="dxa" w:w="1450"/>
            <w:vAlign w:val="center"/>
          </w:tcPr>
          <w:p>
            <w:pPr>
              <w:spacing w:after="0" w:line="211" w:lineRule="auto"/>
              <w:jc w:val="center"/>
            </w:pPr>
            <w:r>
              <w:rPr>
                <w:rFonts w:ascii="Times New Roman" w:hAnsi="Times New Roman" w:eastAsia="Times New Roman"/>
                <w:sz w:val="12"/>
              </w:rPr>
              <w:t>6.55</w:t>
            </w:r>
          </w:p>
        </w:tc>
        <w:tc>
          <w:tcPr>
            <w:tcW w:type="dxa" w:w="1450"/>
            <w:vAlign w:val="center"/>
          </w:tcPr>
          <w:p>
            <w:pPr>
              <w:spacing w:after="0" w:line="211" w:lineRule="auto"/>
              <w:jc w:val="center"/>
            </w:pPr>
            <w:r>
              <w:rPr>
                <w:rFonts w:ascii="Times New Roman" w:hAnsi="Times New Roman" w:eastAsia="Times New Roman"/>
                <w:sz w:val="12"/>
              </w:rPr>
              <w:t>0.8008</w:t>
            </w:r>
          </w:p>
        </w:tc>
        <w:tc>
          <w:tcPr>
            <w:tcW w:type="dxa" w:w="1450"/>
            <w:vAlign w:val="center"/>
          </w:tcPr>
          <w:p>
            <w:pPr>
              <w:spacing w:after="0" w:line="211" w:lineRule="auto"/>
              <w:jc w:val="center"/>
            </w:pPr>
            <w:r>
              <w:rPr>
                <w:rFonts w:ascii="Times New Roman" w:hAnsi="Times New Roman" w:eastAsia="Times New Roman"/>
                <w:sz w:val="12"/>
              </w:rPr>
              <w:t>47.43</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9.6920</w:t>
            </w:r>
          </w:p>
        </w:tc>
        <w:tc>
          <w:tcPr>
            <w:tcW w:type="dxa" w:w="1450"/>
            <w:vAlign w:val="center"/>
          </w:tcPr>
          <w:p>
            <w:pPr>
              <w:spacing w:after="0" w:line="211" w:lineRule="auto"/>
              <w:jc w:val="center"/>
            </w:pPr>
            <w:r>
              <w:rPr>
                <w:rFonts w:ascii="Times New Roman" w:hAnsi="Times New Roman" w:eastAsia="Times New Roman"/>
                <w:sz w:val="12"/>
              </w:rPr>
              <w:t>19.9194</w:t>
            </w:r>
          </w:p>
        </w:tc>
        <w:tc>
          <w:tcPr>
            <w:tcW w:type="dxa" w:w="1450"/>
            <w:vAlign w:val="center"/>
          </w:tcPr>
          <w:p>
            <w:pPr>
              <w:spacing w:after="0" w:line="211" w:lineRule="auto"/>
              <w:jc w:val="center"/>
            </w:pPr>
            <w:r>
              <w:rPr>
                <w:rFonts w:ascii="Times New Roman" w:hAnsi="Times New Roman" w:eastAsia="Times New Roman"/>
                <w:sz w:val="12"/>
              </w:rPr>
              <w:t>6.57</w:t>
            </w:r>
          </w:p>
        </w:tc>
        <w:tc>
          <w:tcPr>
            <w:tcW w:type="dxa" w:w="1450"/>
            <w:vAlign w:val="center"/>
          </w:tcPr>
          <w:p>
            <w:pPr>
              <w:spacing w:after="0" w:line="211" w:lineRule="auto"/>
              <w:jc w:val="center"/>
            </w:pPr>
            <w:r>
              <w:rPr>
                <w:rFonts w:ascii="Times New Roman" w:hAnsi="Times New Roman" w:eastAsia="Times New Roman"/>
                <w:sz w:val="12"/>
              </w:rPr>
              <w:t>0.8154</w:t>
            </w:r>
          </w:p>
        </w:tc>
        <w:tc>
          <w:tcPr>
            <w:tcW w:type="dxa" w:w="1450"/>
            <w:vAlign w:val="center"/>
          </w:tcPr>
          <w:p>
            <w:pPr>
              <w:spacing w:after="0" w:line="211" w:lineRule="auto"/>
              <w:jc w:val="center"/>
            </w:pPr>
            <w:r>
              <w:rPr>
                <w:rFonts w:ascii="Times New Roman" w:hAnsi="Times New Roman" w:eastAsia="Times New Roman"/>
                <w:sz w:val="12"/>
              </w:rPr>
              <w:t>47.04</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9.8931</w:t>
            </w:r>
          </w:p>
        </w:tc>
        <w:tc>
          <w:tcPr>
            <w:tcW w:type="dxa" w:w="1450"/>
            <w:vAlign w:val="center"/>
          </w:tcPr>
          <w:p>
            <w:pPr>
              <w:spacing w:after="0" w:line="211" w:lineRule="auto"/>
              <w:jc w:val="center"/>
            </w:pPr>
            <w:r>
              <w:rPr>
                <w:rFonts w:ascii="Times New Roman" w:hAnsi="Times New Roman" w:eastAsia="Times New Roman"/>
                <w:sz w:val="12"/>
              </w:rPr>
              <w:t>20.9276</w:t>
            </w:r>
          </w:p>
        </w:tc>
        <w:tc>
          <w:tcPr>
            <w:tcW w:type="dxa" w:w="1450"/>
            <w:vAlign w:val="center"/>
          </w:tcPr>
          <w:p>
            <w:pPr>
              <w:spacing w:after="0" w:line="211" w:lineRule="auto"/>
              <w:jc w:val="center"/>
            </w:pPr>
            <w:r>
              <w:rPr>
                <w:rFonts w:ascii="Times New Roman" w:hAnsi="Times New Roman" w:eastAsia="Times New Roman"/>
                <w:sz w:val="12"/>
              </w:rPr>
              <w:t>6.54</w:t>
            </w:r>
          </w:p>
        </w:tc>
        <w:tc>
          <w:tcPr>
            <w:tcW w:type="dxa" w:w="1450"/>
            <w:vAlign w:val="center"/>
          </w:tcPr>
          <w:p>
            <w:pPr>
              <w:spacing w:after="0" w:line="211" w:lineRule="auto"/>
              <w:jc w:val="center"/>
            </w:pPr>
            <w:r>
              <w:rPr>
                <w:rFonts w:ascii="Times New Roman" w:hAnsi="Times New Roman" w:eastAsia="Times New Roman"/>
                <w:sz w:val="12"/>
              </w:rPr>
              <w:t>0.7962</w:t>
            </w:r>
          </w:p>
        </w:tc>
        <w:tc>
          <w:tcPr>
            <w:tcW w:type="dxa" w:w="1450"/>
            <w:vAlign w:val="center"/>
          </w:tcPr>
          <w:p>
            <w:pPr>
              <w:spacing w:after="0" w:line="211" w:lineRule="auto"/>
              <w:jc w:val="center"/>
            </w:pPr>
            <w:r>
              <w:rPr>
                <w:rFonts w:ascii="Times New Roman" w:hAnsi="Times New Roman" w:eastAsia="Times New Roman"/>
                <w:sz w:val="12"/>
              </w:rPr>
              <w:t>48.71</w:t>
            </w:r>
          </w:p>
        </w:tc>
      </w:tr>
      <w:tr>
        <w:tc>
          <w:tcPr>
            <w:tcW w:type="dxa" w:w="1450"/>
            <w:vAlign w:val="center"/>
          </w:tcPr>
          <w:p>
            <w:pPr>
              <w:spacing w:after="0" w:line="211" w:lineRule="auto"/>
              <w:jc w:val="center"/>
            </w:pPr>
            <w:r>
              <w:rPr>
                <w:rFonts w:ascii="Times New Roman" w:hAnsi="Times New Roman" w:eastAsia="Times New Roman"/>
                <w:sz w:val="12"/>
              </w:rPr>
              <w:t>H10</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9.7097</w:t>
            </w:r>
          </w:p>
        </w:tc>
        <w:tc>
          <w:tcPr>
            <w:tcW w:type="dxa" w:w="1450"/>
            <w:vAlign w:val="center"/>
          </w:tcPr>
          <w:p>
            <w:pPr>
              <w:spacing w:after="0" w:line="211" w:lineRule="auto"/>
              <w:jc w:val="center"/>
            </w:pPr>
            <w:r>
              <w:rPr>
                <w:rFonts w:ascii="Times New Roman" w:hAnsi="Times New Roman" w:eastAsia="Times New Roman"/>
                <w:sz w:val="12"/>
              </w:rPr>
              <w:t>19.8244</w:t>
            </w:r>
          </w:p>
        </w:tc>
        <w:tc>
          <w:tcPr>
            <w:tcW w:type="dxa" w:w="1450"/>
            <w:vAlign w:val="center"/>
          </w:tcPr>
          <w:p>
            <w:pPr>
              <w:spacing w:after="0" w:line="211" w:lineRule="auto"/>
              <w:jc w:val="center"/>
            </w:pPr>
            <w:r>
              <w:rPr>
                <w:rFonts w:ascii="Times New Roman" w:hAnsi="Times New Roman" w:eastAsia="Times New Roman"/>
                <w:sz w:val="12"/>
              </w:rPr>
              <w:t>6.52</w:t>
            </w:r>
          </w:p>
        </w:tc>
        <w:tc>
          <w:tcPr>
            <w:tcW w:type="dxa" w:w="1450"/>
            <w:vAlign w:val="center"/>
          </w:tcPr>
          <w:p>
            <w:pPr>
              <w:spacing w:after="0" w:line="211" w:lineRule="auto"/>
              <w:jc w:val="center"/>
            </w:pPr>
            <w:r>
              <w:rPr>
                <w:rFonts w:ascii="Times New Roman" w:hAnsi="Times New Roman" w:eastAsia="Times New Roman"/>
                <w:sz w:val="12"/>
              </w:rPr>
              <w:t>0.8171</w:t>
            </w:r>
          </w:p>
        </w:tc>
        <w:tc>
          <w:tcPr>
            <w:tcW w:type="dxa" w:w="1450"/>
            <w:vAlign w:val="center"/>
          </w:tcPr>
          <w:p>
            <w:pPr>
              <w:spacing w:after="0" w:line="211" w:lineRule="auto"/>
              <w:jc w:val="center"/>
            </w:pPr>
            <w:r>
              <w:rPr>
                <w:rFonts w:ascii="Times New Roman" w:hAnsi="Times New Roman" w:eastAsia="Times New Roman"/>
                <w:sz w:val="12"/>
              </w:rPr>
              <w:t>46.53</w:t>
            </w:r>
          </w:p>
        </w:tc>
      </w:tr>
      <w:tr>
        <w:tc>
          <w:tcPr>
            <w:tcW w:type="dxa" w:w="1450"/>
            <w:vAlign w:val="center"/>
          </w:tcPr>
          <w:p>
            <w:pPr>
              <w:spacing w:after="0" w:line="211" w:lineRule="auto"/>
              <w:jc w:val="center"/>
            </w:pPr>
            <w:r>
              <w:rPr>
                <w:rFonts w:ascii="Times New Roman" w:hAnsi="Times New Roman" w:eastAsia="Times New Roman"/>
                <w:b/>
                <w:sz w:val="12"/>
              </w:rPr>
              <w:t>H20</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9.4562</w:t>
            </w:r>
          </w:p>
        </w:tc>
        <w:tc>
          <w:tcPr>
            <w:tcW w:type="dxa" w:w="1450"/>
            <w:vAlign w:val="center"/>
          </w:tcPr>
          <w:p>
            <w:pPr>
              <w:spacing w:after="0" w:line="211" w:lineRule="auto"/>
              <w:jc w:val="center"/>
            </w:pPr>
            <w:r>
              <w:rPr>
                <w:rFonts w:ascii="Times New Roman" w:hAnsi="Times New Roman" w:eastAsia="Times New Roman"/>
                <w:b/>
                <w:sz w:val="12"/>
              </w:rPr>
              <w:t>20.7135</w:t>
            </w:r>
          </w:p>
        </w:tc>
        <w:tc>
          <w:tcPr>
            <w:tcW w:type="dxa" w:w="1450"/>
            <w:vAlign w:val="center"/>
          </w:tcPr>
          <w:p>
            <w:pPr>
              <w:spacing w:after="0" w:line="211" w:lineRule="auto"/>
              <w:jc w:val="center"/>
            </w:pPr>
            <w:r>
              <w:rPr>
                <w:rFonts w:ascii="Times New Roman" w:hAnsi="Times New Roman" w:eastAsia="Times New Roman"/>
                <w:b/>
                <w:sz w:val="12"/>
              </w:rPr>
              <w:t>6.85</w:t>
            </w:r>
          </w:p>
        </w:tc>
        <w:tc>
          <w:tcPr>
            <w:tcW w:type="dxa" w:w="1450"/>
            <w:vAlign w:val="center"/>
          </w:tcPr>
          <w:p>
            <w:pPr>
              <w:spacing w:after="0" w:line="211" w:lineRule="auto"/>
              <w:jc w:val="center"/>
            </w:pPr>
            <w:r>
              <w:rPr>
                <w:rFonts w:ascii="Times New Roman" w:hAnsi="Times New Roman" w:eastAsia="Times New Roman"/>
                <w:b/>
                <w:sz w:val="12"/>
              </w:rPr>
              <w:t>0.7192</w:t>
            </w:r>
          </w:p>
        </w:tc>
        <w:tc>
          <w:tcPr>
            <w:tcW w:type="dxa" w:w="1450"/>
            <w:vAlign w:val="center"/>
          </w:tcPr>
          <w:p>
            <w:pPr>
              <w:spacing w:after="0" w:line="211" w:lineRule="auto"/>
              <w:jc w:val="center"/>
            </w:pPr>
            <w:r>
              <w:rPr>
                <w:rFonts w:ascii="Times New Roman" w:hAnsi="Times New Roman" w:eastAsia="Times New Roman"/>
                <w:b/>
                <w:sz w:val="12"/>
              </w:rPr>
              <w:t>71.11</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12.6691</w:t>
            </w:r>
          </w:p>
        </w:tc>
        <w:tc>
          <w:tcPr>
            <w:tcW w:type="dxa" w:w="1450"/>
            <w:vAlign w:val="center"/>
          </w:tcPr>
          <w:p>
            <w:pPr>
              <w:spacing w:after="0" w:line="211" w:lineRule="auto"/>
              <w:jc w:val="center"/>
            </w:pPr>
            <w:r>
              <w:rPr>
                <w:rFonts w:ascii="Times New Roman" w:hAnsi="Times New Roman" w:eastAsia="Times New Roman"/>
                <w:sz w:val="12"/>
              </w:rPr>
              <w:t>27.0410</w:t>
            </w:r>
          </w:p>
        </w:tc>
        <w:tc>
          <w:tcPr>
            <w:tcW w:type="dxa" w:w="1450"/>
            <w:vAlign w:val="center"/>
          </w:tcPr>
          <w:p>
            <w:pPr>
              <w:spacing w:after="0" w:line="211" w:lineRule="auto"/>
              <w:jc w:val="center"/>
            </w:pPr>
            <w:r>
              <w:rPr>
                <w:rFonts w:ascii="Times New Roman" w:hAnsi="Times New Roman" w:eastAsia="Times New Roman"/>
                <w:sz w:val="12"/>
              </w:rPr>
              <w:t>8.94</w:t>
            </w:r>
          </w:p>
        </w:tc>
        <w:tc>
          <w:tcPr>
            <w:tcW w:type="dxa" w:w="1450"/>
            <w:vAlign w:val="center"/>
          </w:tcPr>
          <w:p>
            <w:pPr>
              <w:spacing w:after="0" w:line="211" w:lineRule="auto"/>
              <w:jc w:val="center"/>
            </w:pPr>
            <w:r>
              <w:rPr>
                <w:rFonts w:ascii="Times New Roman" w:hAnsi="Times New Roman" w:eastAsia="Times New Roman"/>
                <w:sz w:val="12"/>
              </w:rPr>
              <w:t>0.5358</w:t>
            </w:r>
          </w:p>
        </w:tc>
        <w:tc>
          <w:tcPr>
            <w:tcW w:type="dxa" w:w="1450"/>
            <w:vAlign w:val="center"/>
          </w:tcPr>
          <w:p>
            <w:pPr>
              <w:spacing w:after="0" w:line="211" w:lineRule="auto"/>
              <w:jc w:val="center"/>
            </w:pPr>
            <w:r>
              <w:rPr>
                <w:rFonts w:ascii="Times New Roman" w:hAnsi="Times New Roman" w:eastAsia="Times New Roman"/>
                <w:sz w:val="12"/>
              </w:rPr>
              <w:t>47.99</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12.4936</w:t>
            </w:r>
          </w:p>
        </w:tc>
        <w:tc>
          <w:tcPr>
            <w:tcW w:type="dxa" w:w="1450"/>
            <w:vAlign w:val="center"/>
          </w:tcPr>
          <w:p>
            <w:pPr>
              <w:spacing w:after="0" w:line="211" w:lineRule="auto"/>
              <w:jc w:val="center"/>
            </w:pPr>
            <w:r>
              <w:rPr>
                <w:rFonts w:ascii="Times New Roman" w:hAnsi="Times New Roman" w:eastAsia="Times New Roman"/>
                <w:sz w:val="12"/>
              </w:rPr>
              <w:t>26.8776</w:t>
            </w:r>
          </w:p>
        </w:tc>
        <w:tc>
          <w:tcPr>
            <w:tcW w:type="dxa" w:w="1450"/>
            <w:vAlign w:val="center"/>
          </w:tcPr>
          <w:p>
            <w:pPr>
              <w:spacing w:after="0" w:line="211" w:lineRule="auto"/>
              <w:jc w:val="center"/>
            </w:pPr>
            <w:r>
              <w:rPr>
                <w:rFonts w:ascii="Times New Roman" w:hAnsi="Times New Roman" w:eastAsia="Times New Roman"/>
                <w:sz w:val="12"/>
              </w:rPr>
              <w:t>8.81</w:t>
            </w:r>
          </w:p>
        </w:tc>
        <w:tc>
          <w:tcPr>
            <w:tcW w:type="dxa" w:w="1450"/>
            <w:vAlign w:val="center"/>
          </w:tcPr>
          <w:p>
            <w:pPr>
              <w:spacing w:after="0" w:line="211" w:lineRule="auto"/>
              <w:jc w:val="center"/>
            </w:pPr>
            <w:r>
              <w:rPr>
                <w:rFonts w:ascii="Times New Roman" w:hAnsi="Times New Roman" w:eastAsia="Times New Roman"/>
                <w:sz w:val="12"/>
              </w:rPr>
              <w:t>0.5414</w:t>
            </w:r>
          </w:p>
        </w:tc>
        <w:tc>
          <w:tcPr>
            <w:tcW w:type="dxa" w:w="1450"/>
            <w:vAlign w:val="center"/>
          </w:tcPr>
          <w:p>
            <w:pPr>
              <w:spacing w:after="0" w:line="211" w:lineRule="auto"/>
              <w:jc w:val="center"/>
            </w:pPr>
            <w:r>
              <w:rPr>
                <w:rFonts w:ascii="Times New Roman" w:hAnsi="Times New Roman" w:eastAsia="Times New Roman"/>
                <w:sz w:val="12"/>
              </w:rPr>
              <w:t>48.33</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13.4284</w:t>
            </w:r>
          </w:p>
        </w:tc>
        <w:tc>
          <w:tcPr>
            <w:tcW w:type="dxa" w:w="1450"/>
            <w:vAlign w:val="center"/>
          </w:tcPr>
          <w:p>
            <w:pPr>
              <w:spacing w:after="0" w:line="211" w:lineRule="auto"/>
              <w:jc w:val="center"/>
            </w:pPr>
            <w:r>
              <w:rPr>
                <w:rFonts w:ascii="Times New Roman" w:hAnsi="Times New Roman" w:eastAsia="Times New Roman"/>
                <w:sz w:val="12"/>
              </w:rPr>
              <w:t>28.6245</w:t>
            </w:r>
          </w:p>
        </w:tc>
        <w:tc>
          <w:tcPr>
            <w:tcW w:type="dxa" w:w="1450"/>
            <w:vAlign w:val="center"/>
          </w:tcPr>
          <w:p>
            <w:pPr>
              <w:spacing w:after="0" w:line="211" w:lineRule="auto"/>
              <w:jc w:val="center"/>
            </w:pPr>
            <w:r>
              <w:rPr>
                <w:rFonts w:ascii="Times New Roman" w:hAnsi="Times New Roman" w:eastAsia="Times New Roman"/>
                <w:sz w:val="12"/>
              </w:rPr>
              <w:t>9.59</w:t>
            </w:r>
          </w:p>
        </w:tc>
        <w:tc>
          <w:tcPr>
            <w:tcW w:type="dxa" w:w="1450"/>
            <w:vAlign w:val="center"/>
          </w:tcPr>
          <w:p>
            <w:pPr>
              <w:spacing w:after="0" w:line="211" w:lineRule="auto"/>
              <w:jc w:val="center"/>
            </w:pPr>
            <w:r>
              <w:rPr>
                <w:rFonts w:ascii="Times New Roman" w:hAnsi="Times New Roman" w:eastAsia="Times New Roman"/>
                <w:sz w:val="12"/>
              </w:rPr>
              <w:t>0.4799</w:t>
            </w:r>
          </w:p>
        </w:tc>
        <w:tc>
          <w:tcPr>
            <w:tcW w:type="dxa" w:w="1450"/>
            <w:vAlign w:val="center"/>
          </w:tcPr>
          <w:p>
            <w:pPr>
              <w:spacing w:after="0" w:line="211" w:lineRule="auto"/>
              <w:jc w:val="center"/>
            </w:pPr>
            <w:r>
              <w:rPr>
                <w:rFonts w:ascii="Times New Roman" w:hAnsi="Times New Roman" w:eastAsia="Times New Roman"/>
                <w:sz w:val="12"/>
              </w:rPr>
              <w:t>47.16</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12.6621</w:t>
            </w:r>
          </w:p>
        </w:tc>
        <w:tc>
          <w:tcPr>
            <w:tcW w:type="dxa" w:w="1450"/>
            <w:vAlign w:val="center"/>
          </w:tcPr>
          <w:p>
            <w:pPr>
              <w:spacing w:after="0" w:line="211" w:lineRule="auto"/>
              <w:jc w:val="center"/>
            </w:pPr>
            <w:r>
              <w:rPr>
                <w:rFonts w:ascii="Times New Roman" w:hAnsi="Times New Roman" w:eastAsia="Times New Roman"/>
                <w:sz w:val="12"/>
              </w:rPr>
              <w:t>27.5688</w:t>
            </w:r>
          </w:p>
        </w:tc>
        <w:tc>
          <w:tcPr>
            <w:tcW w:type="dxa" w:w="1450"/>
            <w:vAlign w:val="center"/>
          </w:tcPr>
          <w:p>
            <w:pPr>
              <w:spacing w:after="0" w:line="211" w:lineRule="auto"/>
              <w:jc w:val="center"/>
            </w:pPr>
            <w:r>
              <w:rPr>
                <w:rFonts w:ascii="Times New Roman" w:hAnsi="Times New Roman" w:eastAsia="Times New Roman"/>
                <w:sz w:val="12"/>
              </w:rPr>
              <w:t>8.87</w:t>
            </w:r>
          </w:p>
        </w:tc>
        <w:tc>
          <w:tcPr>
            <w:tcW w:type="dxa" w:w="1450"/>
            <w:vAlign w:val="center"/>
          </w:tcPr>
          <w:p>
            <w:pPr>
              <w:spacing w:after="0" w:line="211" w:lineRule="auto"/>
              <w:jc w:val="center"/>
            </w:pPr>
            <w:r>
              <w:rPr>
                <w:rFonts w:ascii="Times New Roman" w:hAnsi="Times New Roman" w:eastAsia="Times New Roman"/>
                <w:sz w:val="12"/>
              </w:rPr>
              <w:t>0.5175</w:t>
            </w:r>
          </w:p>
        </w:tc>
        <w:tc>
          <w:tcPr>
            <w:tcW w:type="dxa" w:w="1450"/>
            <w:vAlign w:val="center"/>
          </w:tcPr>
          <w:p>
            <w:pPr>
              <w:spacing w:after="0" w:line="211" w:lineRule="auto"/>
              <w:jc w:val="center"/>
            </w:pPr>
            <w:r>
              <w:rPr>
                <w:rFonts w:ascii="Times New Roman" w:hAnsi="Times New Roman" w:eastAsia="Times New Roman"/>
                <w:sz w:val="12"/>
              </w:rPr>
              <w:t>47.49</w:t>
            </w:r>
          </w:p>
        </w:tc>
      </w:tr>
      <w:tr>
        <w:tc>
          <w:tcPr>
            <w:tcW w:type="dxa" w:w="1450"/>
            <w:vAlign w:val="center"/>
          </w:tcPr>
          <w:p>
            <w:pPr>
              <w:spacing w:after="0" w:line="211" w:lineRule="auto"/>
              <w:jc w:val="center"/>
            </w:pPr>
            <w:r>
              <w:rPr>
                <w:rFonts w:ascii="Times New Roman" w:hAnsi="Times New Roman" w:eastAsia="Times New Roman"/>
                <w:sz w:val="12"/>
              </w:rPr>
              <w:t>H20</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12.2271</w:t>
            </w:r>
          </w:p>
        </w:tc>
        <w:tc>
          <w:tcPr>
            <w:tcW w:type="dxa" w:w="1450"/>
            <w:vAlign w:val="center"/>
          </w:tcPr>
          <w:p>
            <w:pPr>
              <w:spacing w:after="0" w:line="211" w:lineRule="auto"/>
              <w:jc w:val="center"/>
            </w:pPr>
            <w:r>
              <w:rPr>
                <w:rFonts w:ascii="Times New Roman" w:hAnsi="Times New Roman" w:eastAsia="Times New Roman"/>
                <w:sz w:val="12"/>
              </w:rPr>
              <w:t>25.8642</w:t>
            </w:r>
          </w:p>
        </w:tc>
        <w:tc>
          <w:tcPr>
            <w:tcW w:type="dxa" w:w="1450"/>
            <w:vAlign w:val="center"/>
          </w:tcPr>
          <w:p>
            <w:pPr>
              <w:spacing w:after="0" w:line="211" w:lineRule="auto"/>
              <w:jc w:val="center"/>
            </w:pPr>
            <w:r>
              <w:rPr>
                <w:rFonts w:ascii="Times New Roman" w:hAnsi="Times New Roman" w:eastAsia="Times New Roman"/>
                <w:sz w:val="12"/>
              </w:rPr>
              <w:t>8.68</w:t>
            </w:r>
          </w:p>
        </w:tc>
        <w:tc>
          <w:tcPr>
            <w:tcW w:type="dxa" w:w="1450"/>
            <w:vAlign w:val="center"/>
          </w:tcPr>
          <w:p>
            <w:pPr>
              <w:spacing w:after="0" w:line="211" w:lineRule="auto"/>
              <w:jc w:val="center"/>
            </w:pPr>
            <w:r>
              <w:rPr>
                <w:rFonts w:ascii="Times New Roman" w:hAnsi="Times New Roman" w:eastAsia="Times New Roman"/>
                <w:sz w:val="12"/>
              </w:rPr>
              <w:t>0.5753</w:t>
            </w:r>
          </w:p>
        </w:tc>
        <w:tc>
          <w:tcPr>
            <w:tcW w:type="dxa" w:w="1450"/>
            <w:vAlign w:val="center"/>
          </w:tcPr>
          <w:p>
            <w:pPr>
              <w:spacing w:after="0" w:line="211" w:lineRule="auto"/>
              <w:jc w:val="center"/>
            </w:pPr>
            <w:r>
              <w:rPr>
                <w:rFonts w:ascii="Times New Roman" w:hAnsi="Times New Roman" w:eastAsia="Times New Roman"/>
                <w:sz w:val="12"/>
              </w:rPr>
              <w:t>49.33</w:t>
            </w:r>
          </w:p>
        </w:tc>
      </w:tr>
      <w:tr>
        <w:tc>
          <w:tcPr>
            <w:tcW w:type="dxa" w:w="1450"/>
            <w:vAlign w:val="center"/>
          </w:tcPr>
          <w:p>
            <w:pPr>
              <w:spacing w:after="0" w:line="211" w:lineRule="auto"/>
              <w:jc w:val="center"/>
            </w:pPr>
            <w:r>
              <w:rPr>
                <w:rFonts w:ascii="Times New Roman" w:hAnsi="Times New Roman" w:eastAsia="Times New Roman"/>
                <w:b/>
                <w:sz w:val="12"/>
              </w:rPr>
              <w:t>H60</w:t>
            </w:r>
          </w:p>
        </w:tc>
        <w:tc>
          <w:tcPr>
            <w:tcW w:type="dxa" w:w="1450"/>
            <w:vAlign w:val="center"/>
          </w:tcPr>
          <w:p>
            <w:pPr>
              <w:spacing w:after="0" w:line="211" w:lineRule="auto"/>
              <w:jc w:val="left"/>
            </w:pPr>
            <w:r>
              <w:rPr>
                <w:rFonts w:ascii="Times New Roman" w:hAnsi="Times New Roman" w:eastAsia="Times New Roman"/>
                <w:b/>
                <w:sz w:val="12"/>
              </w:rPr>
              <w:t>GUMNetHet</w:t>
            </w:r>
          </w:p>
        </w:tc>
        <w:tc>
          <w:tcPr>
            <w:tcW w:type="dxa" w:w="1450"/>
            <w:vAlign w:val="center"/>
          </w:tcPr>
          <w:p>
            <w:pPr>
              <w:spacing w:after="0" w:line="211" w:lineRule="auto"/>
              <w:jc w:val="center"/>
            </w:pPr>
            <w:r>
              <w:rPr>
                <w:rFonts w:ascii="Times New Roman" w:hAnsi="Times New Roman" w:eastAsia="Times New Roman"/>
                <w:b/>
                <w:sz w:val="12"/>
              </w:rPr>
              <w:t>7.0664</w:t>
            </w:r>
          </w:p>
        </w:tc>
        <w:tc>
          <w:tcPr>
            <w:tcW w:type="dxa" w:w="1450"/>
            <w:vAlign w:val="center"/>
          </w:tcPr>
          <w:p>
            <w:pPr>
              <w:spacing w:after="0" w:line="211" w:lineRule="auto"/>
              <w:jc w:val="center"/>
            </w:pPr>
            <w:r>
              <w:rPr>
                <w:rFonts w:ascii="Times New Roman" w:hAnsi="Times New Roman" w:eastAsia="Times New Roman"/>
                <w:b/>
                <w:sz w:val="12"/>
              </w:rPr>
              <w:t>18.0187</w:t>
            </w:r>
          </w:p>
        </w:tc>
        <w:tc>
          <w:tcPr>
            <w:tcW w:type="dxa" w:w="1450"/>
            <w:vAlign w:val="center"/>
          </w:tcPr>
          <w:p>
            <w:pPr>
              <w:spacing w:after="0" w:line="211" w:lineRule="auto"/>
              <w:jc w:val="center"/>
            </w:pPr>
            <w:r>
              <w:rPr>
                <w:rFonts w:ascii="Times New Roman" w:hAnsi="Times New Roman" w:eastAsia="Times New Roman"/>
                <w:b/>
                <w:sz w:val="12"/>
              </w:rPr>
              <w:t>6.41</w:t>
            </w:r>
          </w:p>
        </w:tc>
        <w:tc>
          <w:tcPr>
            <w:tcW w:type="dxa" w:w="1450"/>
            <w:vAlign w:val="center"/>
          </w:tcPr>
          <w:p>
            <w:pPr>
              <w:spacing w:after="0" w:line="211" w:lineRule="auto"/>
              <w:jc w:val="center"/>
            </w:pPr>
            <w:r>
              <w:rPr>
                <w:rFonts w:ascii="Times New Roman" w:hAnsi="Times New Roman" w:eastAsia="Times New Roman"/>
                <w:b/>
                <w:sz w:val="12"/>
              </w:rPr>
              <w:t>-0.0072</w:t>
            </w:r>
          </w:p>
        </w:tc>
        <w:tc>
          <w:tcPr>
            <w:tcW w:type="dxa" w:w="1450"/>
            <w:vAlign w:val="center"/>
          </w:tcPr>
          <w:p>
            <w:pPr>
              <w:spacing w:after="0" w:line="211" w:lineRule="auto"/>
              <w:jc w:val="center"/>
            </w:pPr>
            <w:r>
              <w:rPr>
                <w:rFonts w:ascii="Times New Roman" w:hAnsi="Times New Roman" w:eastAsia="Times New Roman"/>
                <w:b/>
                <w:sz w:val="12"/>
              </w:rPr>
              <w:t>19.10</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PatchTST</w:t>
            </w:r>
          </w:p>
        </w:tc>
        <w:tc>
          <w:tcPr>
            <w:tcW w:type="dxa" w:w="1450"/>
            <w:vAlign w:val="center"/>
          </w:tcPr>
          <w:p>
            <w:pPr>
              <w:spacing w:after="0" w:line="211" w:lineRule="auto"/>
              <w:jc w:val="center"/>
            </w:pPr>
            <w:r>
              <w:rPr>
                <w:rFonts w:ascii="Times New Roman" w:hAnsi="Times New Roman" w:eastAsia="Times New Roman"/>
                <w:sz w:val="12"/>
              </w:rPr>
              <w:t>10.1792</w:t>
            </w:r>
          </w:p>
        </w:tc>
        <w:tc>
          <w:tcPr>
            <w:tcW w:type="dxa" w:w="1450"/>
            <w:vAlign w:val="center"/>
          </w:tcPr>
          <w:p>
            <w:pPr>
              <w:spacing w:after="0" w:line="211" w:lineRule="auto"/>
              <w:jc w:val="center"/>
            </w:pPr>
            <w:r>
              <w:rPr>
                <w:rFonts w:ascii="Times New Roman" w:hAnsi="Times New Roman" w:eastAsia="Times New Roman"/>
                <w:sz w:val="12"/>
              </w:rPr>
              <w:t>24.4469</w:t>
            </w:r>
          </w:p>
        </w:tc>
        <w:tc>
          <w:tcPr>
            <w:tcW w:type="dxa" w:w="1450"/>
            <w:vAlign w:val="center"/>
          </w:tcPr>
          <w:p>
            <w:pPr>
              <w:spacing w:after="0" w:line="211" w:lineRule="auto"/>
              <w:jc w:val="center"/>
            </w:pPr>
            <w:r>
              <w:rPr>
                <w:rFonts w:ascii="Times New Roman" w:hAnsi="Times New Roman" w:eastAsia="Times New Roman"/>
                <w:sz w:val="12"/>
              </w:rPr>
              <w:t>8.68</w:t>
            </w:r>
          </w:p>
        </w:tc>
        <w:tc>
          <w:tcPr>
            <w:tcW w:type="dxa" w:w="1450"/>
            <w:vAlign w:val="center"/>
          </w:tcPr>
          <w:p>
            <w:pPr>
              <w:spacing w:after="0" w:line="211" w:lineRule="auto"/>
              <w:jc w:val="center"/>
            </w:pPr>
            <w:r>
              <w:rPr>
                <w:rFonts w:ascii="Times New Roman" w:hAnsi="Times New Roman" w:eastAsia="Times New Roman"/>
                <w:sz w:val="12"/>
              </w:rPr>
              <w:t>-0.1894</w:t>
            </w:r>
          </w:p>
        </w:tc>
        <w:tc>
          <w:tcPr>
            <w:tcW w:type="dxa" w:w="1450"/>
            <w:vAlign w:val="center"/>
          </w:tcPr>
          <w:p>
            <w:pPr>
              <w:spacing w:after="0" w:line="211" w:lineRule="auto"/>
              <w:jc w:val="center"/>
            </w:pPr>
            <w:r>
              <w:rPr>
                <w:rFonts w:ascii="Times New Roman" w:hAnsi="Times New Roman" w:eastAsia="Times New Roman"/>
                <w:sz w:val="12"/>
              </w:rPr>
              <w:t>50.21</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iTransformer</w:t>
            </w:r>
          </w:p>
        </w:tc>
        <w:tc>
          <w:tcPr>
            <w:tcW w:type="dxa" w:w="1450"/>
            <w:vAlign w:val="center"/>
          </w:tcPr>
          <w:p>
            <w:pPr>
              <w:spacing w:after="0" w:line="211" w:lineRule="auto"/>
              <w:jc w:val="center"/>
            </w:pPr>
            <w:r>
              <w:rPr>
                <w:rFonts w:ascii="Times New Roman" w:hAnsi="Times New Roman" w:eastAsia="Times New Roman"/>
                <w:sz w:val="12"/>
              </w:rPr>
              <w:t>9.3447</w:t>
            </w:r>
          </w:p>
        </w:tc>
        <w:tc>
          <w:tcPr>
            <w:tcW w:type="dxa" w:w="1450"/>
            <w:vAlign w:val="center"/>
          </w:tcPr>
          <w:p>
            <w:pPr>
              <w:spacing w:after="0" w:line="211" w:lineRule="auto"/>
              <w:jc w:val="center"/>
            </w:pPr>
            <w:r>
              <w:rPr>
                <w:rFonts w:ascii="Times New Roman" w:hAnsi="Times New Roman" w:eastAsia="Times New Roman"/>
                <w:sz w:val="12"/>
              </w:rPr>
              <w:t>23.8920</w:t>
            </w:r>
          </w:p>
        </w:tc>
        <w:tc>
          <w:tcPr>
            <w:tcW w:type="dxa" w:w="1450"/>
            <w:vAlign w:val="center"/>
          </w:tcPr>
          <w:p>
            <w:pPr>
              <w:spacing w:after="0" w:line="211" w:lineRule="auto"/>
              <w:jc w:val="center"/>
            </w:pPr>
            <w:r>
              <w:rPr>
                <w:rFonts w:ascii="Times New Roman" w:hAnsi="Times New Roman" w:eastAsia="Times New Roman"/>
                <w:sz w:val="12"/>
              </w:rPr>
              <w:t>7.82</w:t>
            </w:r>
          </w:p>
        </w:tc>
        <w:tc>
          <w:tcPr>
            <w:tcW w:type="dxa" w:w="1450"/>
            <w:vAlign w:val="center"/>
          </w:tcPr>
          <w:p>
            <w:pPr>
              <w:spacing w:after="0" w:line="211" w:lineRule="auto"/>
              <w:jc w:val="center"/>
            </w:pPr>
            <w:r>
              <w:rPr>
                <w:rFonts w:ascii="Times New Roman" w:hAnsi="Times New Roman" w:eastAsia="Times New Roman"/>
                <w:sz w:val="12"/>
              </w:rPr>
              <w:t>-0.1360</w:t>
            </w:r>
          </w:p>
        </w:tc>
        <w:tc>
          <w:tcPr>
            <w:tcW w:type="dxa" w:w="1450"/>
            <w:vAlign w:val="center"/>
          </w:tcPr>
          <w:p>
            <w:pPr>
              <w:spacing w:after="0" w:line="211" w:lineRule="auto"/>
              <w:jc w:val="center"/>
            </w:pPr>
            <w:r>
              <w:rPr>
                <w:rFonts w:ascii="Times New Roman" w:hAnsi="Times New Roman" w:eastAsia="Times New Roman"/>
                <w:sz w:val="12"/>
              </w:rPr>
              <w:t>49.64</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TimesNet</w:t>
            </w:r>
          </w:p>
        </w:tc>
        <w:tc>
          <w:tcPr>
            <w:tcW w:type="dxa" w:w="1450"/>
            <w:vAlign w:val="center"/>
          </w:tcPr>
          <w:p>
            <w:pPr>
              <w:spacing w:after="0" w:line="211" w:lineRule="auto"/>
              <w:jc w:val="center"/>
            </w:pPr>
            <w:r>
              <w:rPr>
                <w:rFonts w:ascii="Times New Roman" w:hAnsi="Times New Roman" w:eastAsia="Times New Roman"/>
                <w:sz w:val="12"/>
              </w:rPr>
              <w:t>9.5859</w:t>
            </w:r>
          </w:p>
        </w:tc>
        <w:tc>
          <w:tcPr>
            <w:tcW w:type="dxa" w:w="1450"/>
            <w:vAlign w:val="center"/>
          </w:tcPr>
          <w:p>
            <w:pPr>
              <w:spacing w:after="0" w:line="211" w:lineRule="auto"/>
              <w:jc w:val="center"/>
            </w:pPr>
            <w:r>
              <w:rPr>
                <w:rFonts w:ascii="Times New Roman" w:hAnsi="Times New Roman" w:eastAsia="Times New Roman"/>
                <w:sz w:val="12"/>
              </w:rPr>
              <w:t>24.3673</w:t>
            </w:r>
          </w:p>
        </w:tc>
        <w:tc>
          <w:tcPr>
            <w:tcW w:type="dxa" w:w="1450"/>
            <w:vAlign w:val="center"/>
          </w:tcPr>
          <w:p>
            <w:pPr>
              <w:spacing w:after="0" w:line="211" w:lineRule="auto"/>
              <w:jc w:val="center"/>
            </w:pPr>
            <w:r>
              <w:rPr>
                <w:rFonts w:ascii="Times New Roman" w:hAnsi="Times New Roman" w:eastAsia="Times New Roman"/>
                <w:sz w:val="12"/>
              </w:rPr>
              <w:t>8.01</w:t>
            </w:r>
          </w:p>
        </w:tc>
        <w:tc>
          <w:tcPr>
            <w:tcW w:type="dxa" w:w="1450"/>
            <w:vAlign w:val="center"/>
          </w:tcPr>
          <w:p>
            <w:pPr>
              <w:spacing w:after="0" w:line="211" w:lineRule="auto"/>
              <w:jc w:val="center"/>
            </w:pPr>
            <w:r>
              <w:rPr>
                <w:rFonts w:ascii="Times New Roman" w:hAnsi="Times New Roman" w:eastAsia="Times New Roman"/>
                <w:sz w:val="12"/>
              </w:rPr>
              <w:t>-0.1817</w:t>
            </w:r>
          </w:p>
        </w:tc>
        <w:tc>
          <w:tcPr>
            <w:tcW w:type="dxa" w:w="1450"/>
            <w:vAlign w:val="center"/>
          </w:tcPr>
          <w:p>
            <w:pPr>
              <w:spacing w:after="0" w:line="211" w:lineRule="auto"/>
              <w:jc w:val="center"/>
            </w:pPr>
            <w:r>
              <w:rPr>
                <w:rFonts w:ascii="Times New Roman" w:hAnsi="Times New Roman" w:eastAsia="Times New Roman"/>
                <w:sz w:val="12"/>
              </w:rPr>
              <w:t>47.89</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DLinear</w:t>
            </w:r>
          </w:p>
        </w:tc>
        <w:tc>
          <w:tcPr>
            <w:tcW w:type="dxa" w:w="1450"/>
            <w:vAlign w:val="center"/>
          </w:tcPr>
          <w:p>
            <w:pPr>
              <w:spacing w:after="0" w:line="211" w:lineRule="auto"/>
              <w:jc w:val="center"/>
            </w:pPr>
            <w:r>
              <w:rPr>
                <w:rFonts w:ascii="Times New Roman" w:hAnsi="Times New Roman" w:eastAsia="Times New Roman"/>
                <w:sz w:val="12"/>
              </w:rPr>
              <w:t>9.7714</w:t>
            </w:r>
          </w:p>
        </w:tc>
        <w:tc>
          <w:tcPr>
            <w:tcW w:type="dxa" w:w="1450"/>
            <w:vAlign w:val="center"/>
          </w:tcPr>
          <w:p>
            <w:pPr>
              <w:spacing w:after="0" w:line="211" w:lineRule="auto"/>
              <w:jc w:val="center"/>
            </w:pPr>
            <w:r>
              <w:rPr>
                <w:rFonts w:ascii="Times New Roman" w:hAnsi="Times New Roman" w:eastAsia="Times New Roman"/>
                <w:sz w:val="12"/>
              </w:rPr>
              <w:t>24.0682</w:t>
            </w:r>
          </w:p>
        </w:tc>
        <w:tc>
          <w:tcPr>
            <w:tcW w:type="dxa" w:w="1450"/>
            <w:vAlign w:val="center"/>
          </w:tcPr>
          <w:p>
            <w:pPr>
              <w:spacing w:after="0" w:line="211" w:lineRule="auto"/>
              <w:jc w:val="center"/>
            </w:pPr>
            <w:r>
              <w:rPr>
                <w:rFonts w:ascii="Times New Roman" w:hAnsi="Times New Roman" w:eastAsia="Times New Roman"/>
                <w:sz w:val="12"/>
              </w:rPr>
              <w:t>8.26</w:t>
            </w:r>
          </w:p>
        </w:tc>
        <w:tc>
          <w:tcPr>
            <w:tcW w:type="dxa" w:w="1450"/>
            <w:vAlign w:val="center"/>
          </w:tcPr>
          <w:p>
            <w:pPr>
              <w:spacing w:after="0" w:line="211" w:lineRule="auto"/>
              <w:jc w:val="center"/>
            </w:pPr>
            <w:r>
              <w:rPr>
                <w:rFonts w:ascii="Times New Roman" w:hAnsi="Times New Roman" w:eastAsia="Times New Roman"/>
                <w:sz w:val="12"/>
              </w:rPr>
              <w:t>-0.1528</w:t>
            </w:r>
          </w:p>
        </w:tc>
        <w:tc>
          <w:tcPr>
            <w:tcW w:type="dxa" w:w="1450"/>
            <w:vAlign w:val="center"/>
          </w:tcPr>
          <w:p>
            <w:pPr>
              <w:spacing w:after="0" w:line="211" w:lineRule="auto"/>
              <w:jc w:val="center"/>
            </w:pPr>
            <w:r>
              <w:rPr>
                <w:rFonts w:ascii="Times New Roman" w:hAnsi="Times New Roman" w:eastAsia="Times New Roman"/>
                <w:sz w:val="12"/>
              </w:rPr>
              <w:t>48.21</w:t>
            </w:r>
          </w:p>
        </w:tc>
      </w:tr>
      <w:tr>
        <w:tc>
          <w:tcPr>
            <w:tcW w:type="dxa" w:w="1450"/>
            <w:vAlign w:val="center"/>
          </w:tcPr>
          <w:p>
            <w:pPr>
              <w:spacing w:after="0" w:line="211" w:lineRule="auto"/>
              <w:jc w:val="center"/>
            </w:pPr>
            <w:r>
              <w:rPr>
                <w:rFonts w:ascii="Times New Roman" w:hAnsi="Times New Roman" w:eastAsia="Times New Roman"/>
                <w:sz w:val="12"/>
              </w:rPr>
              <w:t>H60</w:t>
            </w:r>
          </w:p>
        </w:tc>
        <w:tc>
          <w:tcPr>
            <w:tcW w:type="dxa" w:w="1450"/>
            <w:vAlign w:val="center"/>
          </w:tcPr>
          <w:p>
            <w:pPr>
              <w:spacing w:after="0" w:line="211" w:lineRule="auto"/>
              <w:jc w:val="left"/>
            </w:pPr>
            <w:r>
              <w:rPr>
                <w:rFonts w:ascii="Times New Roman" w:hAnsi="Times New Roman" w:eastAsia="Times New Roman"/>
                <w:sz w:val="12"/>
              </w:rPr>
              <w:t>Chronos</w:t>
            </w:r>
          </w:p>
        </w:tc>
        <w:tc>
          <w:tcPr>
            <w:tcW w:type="dxa" w:w="1450"/>
            <w:vAlign w:val="center"/>
          </w:tcPr>
          <w:p>
            <w:pPr>
              <w:spacing w:after="0" w:line="211" w:lineRule="auto"/>
              <w:jc w:val="center"/>
            </w:pPr>
            <w:r>
              <w:rPr>
                <w:rFonts w:ascii="Times New Roman" w:hAnsi="Times New Roman" w:eastAsia="Times New Roman"/>
                <w:sz w:val="12"/>
              </w:rPr>
              <w:t>9.1668</w:t>
            </w:r>
          </w:p>
        </w:tc>
        <w:tc>
          <w:tcPr>
            <w:tcW w:type="dxa" w:w="1450"/>
            <w:vAlign w:val="center"/>
          </w:tcPr>
          <w:p>
            <w:pPr>
              <w:spacing w:after="0" w:line="211" w:lineRule="auto"/>
              <w:jc w:val="center"/>
            </w:pPr>
            <w:r>
              <w:rPr>
                <w:rFonts w:ascii="Times New Roman" w:hAnsi="Times New Roman" w:eastAsia="Times New Roman"/>
                <w:sz w:val="12"/>
              </w:rPr>
              <w:t>23.6800</w:t>
            </w:r>
          </w:p>
        </w:tc>
        <w:tc>
          <w:tcPr>
            <w:tcW w:type="dxa" w:w="1450"/>
            <w:vAlign w:val="center"/>
          </w:tcPr>
          <w:p>
            <w:pPr>
              <w:spacing w:after="0" w:line="211" w:lineRule="auto"/>
              <w:jc w:val="center"/>
            </w:pPr>
            <w:r>
              <w:rPr>
                <w:rFonts w:ascii="Times New Roman" w:hAnsi="Times New Roman" w:eastAsia="Times New Roman"/>
                <w:sz w:val="12"/>
              </w:rPr>
              <w:t>7.63</w:t>
            </w:r>
          </w:p>
        </w:tc>
        <w:tc>
          <w:tcPr>
            <w:tcW w:type="dxa" w:w="1450"/>
            <w:vAlign w:val="center"/>
          </w:tcPr>
          <w:p>
            <w:pPr>
              <w:spacing w:after="0" w:line="211" w:lineRule="auto"/>
              <w:jc w:val="center"/>
            </w:pPr>
            <w:r>
              <w:rPr>
                <w:rFonts w:ascii="Times New Roman" w:hAnsi="Times New Roman" w:eastAsia="Times New Roman"/>
                <w:sz w:val="12"/>
              </w:rPr>
              <w:t>-0.1160</w:t>
            </w:r>
          </w:p>
        </w:tc>
        <w:tc>
          <w:tcPr>
            <w:tcW w:type="dxa" w:w="1450"/>
            <w:vAlign w:val="center"/>
          </w:tcPr>
          <w:p>
            <w:pPr>
              <w:spacing w:after="0" w:line="211" w:lineRule="auto"/>
              <w:jc w:val="center"/>
            </w:pPr>
            <w:r>
              <w:rPr>
                <w:rFonts w:ascii="Times New Roman" w:hAnsi="Times New Roman" w:eastAsia="Times New Roman"/>
                <w:sz w:val="12"/>
              </w:rPr>
              <w:t>47.80</w:t>
            </w:r>
          </w:p>
        </w:tc>
      </w:tr>
    </w:tbl>
    <w:p>
      <w:pPr>
        <w:pStyle w:val="Caption"/>
      </w:pPr>
      <w:r>
        <w:t>Bảng 3. Kết quả chi tiết trên DO 0.001% (Seed=42). Bảng nguồn thực nghiệm không báo cáo BiMamba cho mục tiêu dầu.</w:t>
      </w:r>
    </w:p>
    <w:p>
      <w:pPr>
        <w:pStyle w:val="H2x"/>
        <w:keepNext/>
      </w:pPr>
      <w:r>
        <w:rPr>
          <w:rFonts w:ascii="Times New Roman" w:hAnsi="Times New Roman" w:eastAsia="Times New Roman"/>
        </w:rPr>
        <w:t>5.2. Độ chính xác xu hướng</w:t>
      </w:r>
    </w:p>
    <w:p>
      <w:pPr/>
      <w:r>
        <w:rPr>
          <w:rFonts w:ascii="Times New Roman" w:hAnsi="Times New Roman" w:eastAsia="Times New Roman"/>
          <w:sz w:val="19"/>
        </w:rPr>
        <w:t>DA cho thấy một hành vi khác với sai số mức. Với xăng, GUMNetHet đạt 91,46%, 91,37%, 90,95% và 95,56% ở H1, H3, H5, H7; với dầu tương ứng là 84,92%, 76,65%, 76,88% và 83,28%. Ở H20, DA vẫn cao (91,65% xăng; 71,11% dầu). Ngược lại, H10 và H60 giảm dưới 50%, lần lượt 42,24%/27,95% cho xăng và 32,29%/19,10% cho dầu. Do đó, GUMNetHet phù hợp hơn như mô hình dự báo mức và biên bất định ở horizon dài, thay vì công cụ sinh tín hiệu hướng.</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263999" cy="2166792"/>
            <wp:docPr id="3" name="Picture 3"/>
            <wp:cNvGraphicFramePr>
              <a:graphicFrameLocks noChangeAspect="1"/>
            </wp:cNvGraphicFramePr>
            <a:graphic>
              <a:graphicData uri="http://schemas.openxmlformats.org/drawingml/2006/picture">
                <pic:pic>
                  <pic:nvPicPr>
                    <pic:cNvPr id="0" name="da.png"/>
                    <pic:cNvPicPr/>
                  </pic:nvPicPr>
                  <pic:blipFill>
                    <a:blip r:embed="rId12"/>
                    <a:stretch>
                      <a:fillRect/>
                    </a:stretch>
                  </pic:blipFill>
                  <pic:spPr>
                    <a:xfrm>
                      <a:off x="0" y="0"/>
                      <a:ext cx="6263999" cy="2166792"/>
                    </a:xfrm>
                    <a:prstGeom prst="rect"/>
                  </pic:spPr>
                </pic:pic>
              </a:graphicData>
            </a:graphic>
          </wp:inline>
        </w:drawing>
      </w:r>
    </w:p>
    <w:p>
      <w:pPr>
        <w:pStyle w:val="Caption"/>
      </w:pPr>
      <w:r>
        <w:rPr>
          <w:rFonts w:ascii="Times New Roman" w:hAnsi="Times New Roman" w:eastAsia="Times New Roman"/>
          <w:sz w:val="15"/>
        </w:rPr>
        <w:t>Hình 3. Directional accuracy (DA%) của GUMNetHet và các baseline qua H1–H60 cho xăng và dầu.</w:t>
      </w:r>
    </w:p>
    <w:p>
      <w:pPr>
        <w:pStyle w:val="H2x"/>
        <w:keepNext/>
      </w:pPr>
      <w:r>
        <w:rPr>
          <w:rFonts w:ascii="Times New Roman" w:hAnsi="Times New Roman" w:eastAsia="Times New Roman"/>
        </w:rPr>
        <w:t>5.3. Dự báo xác suất, ablation và hành vi router</w:t>
      </w:r>
    </w:p>
    <w:p>
      <w:pPr/>
      <w:r>
        <w:rPr>
          <w:rFonts w:ascii="Times New Roman" w:hAnsi="Times New Roman" w:eastAsia="Times New Roman"/>
          <w:sz w:val="19"/>
        </w:rPr>
        <w:t>Khoảng [q0.1,q0.9] đạt PICP=82,4% so với danh định 80% và PINAW=0,142. Fan chart cho thấy biên bất định mở rộng khi biến động tăng. Ablation trong Bảng 5 cho thấy thay Wav-KAN bằng MLP gây suy giảm lớn nhất trong các biến thể expert; router đồng nhất cũng làm MAE tăng đáng kể, củng cố vai trò của chuyên môn hóa và định tuyến thích ứng.</w:t>
      </w:r>
    </w:p>
    <w:tbl>
      <w:tblPr>
        <w:tblW w:type="auto" w:w="0"/>
        <w:jc w:val="center"/>
        <w:tblLayout w:type="autofit"/>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2075"/>
        <w:gridCol w:w="2075"/>
        <w:gridCol w:w="2075"/>
        <w:gridCol w:w="2075"/>
        <w:gridCol w:w="2075"/>
      </w:tblGrid>
      <w:tr>
        <w:trPr>
          <w:tblHeader w:val="true"/>
        </w:trPr>
        <w:tc>
          <w:tcPr>
            <w:tcW w:type="dxa" w:w="2075"/>
            <w:vAlign w:val="center"/>
            <w:tcMar>
              <w:top w:w="25" w:type="dxa"/>
              <w:start w:w="35" w:type="dxa"/>
              <w:bottom w:w="25" w:type="dxa"/>
              <w:end w:w="35" w:type="dxa"/>
            </w:tcMar>
            <w:shd w:fill="E7E6E6"/>
          </w:tcPr>
          <w:p>
            <w:pPr>
              <w:spacing w:after="0" w:line="228" w:lineRule="auto"/>
              <w:jc w:val="left"/>
            </w:pPr>
            <w:r>
              <w:rPr>
                <w:rFonts w:ascii="Times New Roman" w:hAnsi="Times New Roman" w:eastAsia="Times New Roman"/>
                <w:b/>
                <w:sz w:val="14"/>
              </w:rPr>
              <w:t>Biến thể</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X-H3 MAE</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X-H3 R²</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D-H5 MAE</w:t>
            </w:r>
          </w:p>
        </w:tc>
        <w:tc>
          <w:tcPr>
            <w:tcW w:type="dxa" w:w="2075"/>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D-H5 R²</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b/>
                <w:sz w:val="14"/>
              </w:rPr>
              <w:t>GUMNetHet đầy đủ</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4.669</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0.922</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9.216</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0.923</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Wav-KAN→MLP</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5.142</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0.885</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10.852</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0.865</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−GRU</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4.985</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0.901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10.124</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0.891</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CNN chỉ k=3</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4.892</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0.910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9.854</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0.904</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−GPR</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4.821</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0.912</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9.980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0.898</w:t>
            </w:r>
          </w:p>
        </w:tc>
      </w:tr>
      <w:tr>
        <w:tc>
          <w:tcPr>
            <w:tcW w:type="dxa" w:w="2075"/>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Router đồng nhất</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5.012</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0.895</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10.450</w:t>
            </w:r>
          </w:p>
        </w:tc>
        <w:tc>
          <w:tcPr>
            <w:tcW w:type="dxa" w:w="2075"/>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0.879</w:t>
            </w:r>
          </w:p>
        </w:tc>
      </w:tr>
    </w:tbl>
    <w:p>
      <w:pPr>
        <w:pStyle w:val="Caption"/>
      </w:pPr>
      <w:r>
        <w:rPr>
          <w:rFonts w:ascii="Times New Roman" w:hAnsi="Times New Roman" w:eastAsia="Times New Roman"/>
          <w:sz w:val="15"/>
        </w:rPr>
        <w:t>Bảng 5. Ablation rút gọn của GUMNetHet (Seed=42).</w:t>
      </w:r>
    </w:p>
    <w:p>
      <w:pPr/>
      <w:r>
        <w:rPr>
          <w:rFonts w:ascii="Times New Roman" w:hAnsi="Times New Roman" w:eastAsia="Times New Roman"/>
          <w:sz w:val="19"/>
        </w:rPr>
        <w:t>Bản revised còn ghi nhận rằng loại bỏ residual scaling làm MAE tăng khoảng 8,5%/6,3% ở H20 và 14,1%/11,8% ở H60 cho xăng/dầu. Phân tích router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pPr>
        <w:spacing w:after="20"/>
        <w:jc w:val="center"/>
      </w:pPr>
      <w:r>
        <w:rPr>
          <w:rFonts w:ascii="Times New Roman" w:hAnsi="Times New Roman" w:eastAsia="Times New Roman"/>
          <w:sz w:val="19"/>
        </w:rPr>
        <w:drawing>
          <wp:inline xmlns:a="http://schemas.openxmlformats.org/drawingml/2006/main" xmlns:pic="http://schemas.openxmlformats.org/drawingml/2006/picture">
            <wp:extent cx="6083999" cy="4661019"/>
            <wp:docPr id="4" name="Picture 4"/>
            <wp:cNvGraphicFramePr>
              <a:graphicFrameLocks noChangeAspect="1"/>
            </wp:cNvGraphicFramePr>
            <a:graphic>
              <a:graphicData uri="http://schemas.openxmlformats.org/drawingml/2006/picture">
                <pic:pic>
                  <pic:nvPicPr>
                    <pic:cNvPr id="0" name="uncertainty_routing.png"/>
                    <pic:cNvPicPr/>
                  </pic:nvPicPr>
                  <pic:blipFill>
                    <a:blip r:embed="rId13"/>
                    <a:stretch>
                      <a:fillRect/>
                    </a:stretch>
                  </pic:blipFill>
                  <pic:spPr>
                    <a:xfrm>
                      <a:off x="0" y="0"/>
                      <a:ext cx="6083999" cy="4661019"/>
                    </a:xfrm>
                    <a:prstGeom prst="rect"/>
                  </pic:spPr>
                </pic:pic>
              </a:graphicData>
            </a:graphic>
          </wp:inline>
        </w:drawing>
      </w:r>
    </w:p>
    <w:p>
      <w:pPr>
        <w:pStyle w:val="Caption"/>
      </w:pPr>
      <w:r>
        <w:rPr>
          <w:rFonts w:ascii="Times New Roman" w:hAnsi="Times New Roman" w:eastAsia="Times New Roman"/>
          <w:sz w:val="15"/>
        </w:rPr>
        <w:t>Hình 4. Trên: fan chart đa phân vị dưới biến động mạnh. Dưới: trọng số router trong chế độ GPR thấp và GPR cao.</w:t>
      </w:r>
    </w:p>
    <w:p>
      <w:pPr>
        <w:pStyle w:val="H2x"/>
        <w:keepNext/>
      </w:pPr>
      <w:r>
        <w:rPr>
          <w:rFonts w:ascii="Times New Roman" w:hAnsi="Times New Roman" w:eastAsia="Times New Roman"/>
        </w:rPr>
        <w:t>5.4. Hiệu quả tính toán</w:t>
      </w:r>
    </w:p>
    <w:tbl>
      <w:tblPr>
        <w:tblW w:type="auto" w:w="0"/>
        <w:jc w:val="center"/>
        <w:tblLayout w:type="autofit"/>
        <w:tblLook w:firstColumn="1" w:firstRow="1" w:lastColumn="0" w:lastRow="0" w:noHBand="0" w:noVBand="1" w:val="04A0"/>
        <w:tblBorders>
          <w:top w:val="single" w:sz="3" w:color="BFBFBF"/>
          <w:left w:val="single" w:sz="3" w:color="BFBFBF"/>
          <w:bottom w:val="single" w:sz="3" w:color="BFBFBF"/>
          <w:right w:val="single" w:sz="3" w:color="BFBFBF"/>
          <w:insideH w:val="single" w:sz="3" w:color="BFBFBF"/>
          <w:insideV w:val="single" w:sz="3" w:color="BFBFBF"/>
        </w:tblBorders>
      </w:tblPr>
      <w:tblGrid>
        <w:gridCol w:w="2594"/>
        <w:gridCol w:w="2594"/>
        <w:gridCol w:w="2594"/>
        <w:gridCol w:w="2594"/>
      </w:tblGrid>
      <w:tr>
        <w:trPr>
          <w:tblHeader w:val="true"/>
        </w:trPr>
        <w:tc>
          <w:tcPr>
            <w:tcW w:type="dxa" w:w="2594"/>
            <w:vAlign w:val="center"/>
            <w:tcMar>
              <w:top w:w="25" w:type="dxa"/>
              <w:start w:w="35" w:type="dxa"/>
              <w:bottom w:w="25" w:type="dxa"/>
              <w:end w:w="35" w:type="dxa"/>
            </w:tcMar>
            <w:shd w:fill="E7E6E6"/>
          </w:tcPr>
          <w:p>
            <w:pPr>
              <w:spacing w:after="0" w:line="228" w:lineRule="auto"/>
              <w:jc w:val="left"/>
            </w:pPr>
            <w:r>
              <w:rPr>
                <w:rFonts w:ascii="Times New Roman" w:hAnsi="Times New Roman" w:eastAsia="Times New Roman"/>
                <w:b/>
                <w:sz w:val="14"/>
              </w:rPr>
              <w:t>Mô hình</w:t>
            </w:r>
          </w:p>
        </w:tc>
        <w:tc>
          <w:tcPr>
            <w:tcW w:type="dxa" w:w="2594"/>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Tham số (M)</w:t>
            </w:r>
          </w:p>
        </w:tc>
        <w:tc>
          <w:tcPr>
            <w:tcW w:type="dxa" w:w="2594"/>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Train (s/epoch)</w:t>
            </w:r>
          </w:p>
        </w:tc>
        <w:tc>
          <w:tcPr>
            <w:tcW w:type="dxa" w:w="2594"/>
            <w:vAlign w:val="center"/>
            <w:tcMar>
              <w:top w:w="25" w:type="dxa"/>
              <w:start w:w="35" w:type="dxa"/>
              <w:bottom w:w="25" w:type="dxa"/>
              <w:end w:w="35" w:type="dxa"/>
            </w:tcMar>
            <w:shd w:fill="E7E6E6"/>
          </w:tcPr>
          <w:p>
            <w:pPr>
              <w:spacing w:after="0" w:line="228" w:lineRule="auto"/>
              <w:jc w:val="center"/>
            </w:pPr>
            <w:r>
              <w:rPr>
                <w:rFonts w:ascii="Times New Roman" w:hAnsi="Times New Roman" w:eastAsia="Times New Roman"/>
                <w:b/>
                <w:sz w:val="14"/>
              </w:rPr>
              <w:t>Suy luận (ms/mẫu)</w:t>
            </w:r>
          </w:p>
        </w:tc>
      </w:tr>
      <w:tr>
        <w:tc>
          <w:tcPr>
            <w:tcW w:type="dxa" w:w="2594"/>
            <w:vAlign w:val="center"/>
            <w:tcMar>
              <w:top w:w="25" w:type="dxa"/>
              <w:start w:w="35" w:type="dxa"/>
              <w:bottom w:w="25" w:type="dxa"/>
              <w:end w:w="35" w:type="dxa"/>
            </w:tcMar>
          </w:tcPr>
          <w:p>
            <w:pPr>
              <w:spacing w:after="0" w:line="228" w:lineRule="auto"/>
              <w:jc w:val="left"/>
            </w:pPr>
            <w:r>
              <w:rPr>
                <w:rFonts w:ascii="Times New Roman" w:hAnsi="Times New Roman" w:eastAsia="Times New Roman"/>
                <w:b/>
                <w:sz w:val="14"/>
              </w:rPr>
              <w:t>GUMNetHet</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0.34</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1.85</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b/>
                <w:sz w:val="14"/>
              </w:rPr>
              <w:t>1.42</w:t>
            </w:r>
          </w:p>
        </w:tc>
      </w:tr>
      <w:tr>
        <w:tc>
          <w:tcPr>
            <w:tcW w:type="dxa" w:w="2594"/>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DLinear</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0.08</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0.45</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0.38</w:t>
            </w:r>
          </w:p>
        </w:tc>
      </w:tr>
      <w:tr>
        <w:tc>
          <w:tcPr>
            <w:tcW w:type="dxa" w:w="2594"/>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PatchTST</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1.25</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6.40</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4.85</w:t>
            </w:r>
          </w:p>
        </w:tc>
      </w:tr>
      <w:tr>
        <w:tc>
          <w:tcPr>
            <w:tcW w:type="dxa" w:w="2594"/>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iTransformer</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1.68</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7.10</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5.20</w:t>
            </w:r>
          </w:p>
        </w:tc>
      </w:tr>
      <w:tr>
        <w:tc>
          <w:tcPr>
            <w:tcW w:type="dxa" w:w="2594"/>
            <w:vAlign w:val="center"/>
            <w:tcMar>
              <w:top w:w="25" w:type="dxa"/>
              <w:start w:w="35" w:type="dxa"/>
              <w:bottom w:w="25" w:type="dxa"/>
              <w:end w:w="35" w:type="dxa"/>
            </w:tcMar>
          </w:tcPr>
          <w:p>
            <w:pPr>
              <w:spacing w:after="0" w:line="228" w:lineRule="auto"/>
              <w:jc w:val="left"/>
            </w:pPr>
            <w:r>
              <w:rPr>
                <w:rFonts w:ascii="Times New Roman" w:hAnsi="Times New Roman" w:eastAsia="Times New Roman"/>
                <w:sz w:val="14"/>
              </w:rPr>
              <w:t>TimesNet</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2.10</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9.50</w:t>
            </w:r>
          </w:p>
        </w:tc>
        <w:tc>
          <w:tcPr>
            <w:tcW w:type="dxa" w:w="2594"/>
            <w:vAlign w:val="center"/>
            <w:tcMar>
              <w:top w:w="25" w:type="dxa"/>
              <w:start w:w="35" w:type="dxa"/>
              <w:bottom w:w="25" w:type="dxa"/>
              <w:end w:w="35" w:type="dxa"/>
            </w:tcMar>
          </w:tcPr>
          <w:p>
            <w:pPr>
              <w:spacing w:after="0" w:line="228" w:lineRule="auto"/>
              <w:jc w:val="center"/>
            </w:pPr>
            <w:r>
              <w:rPr>
                <w:rFonts w:ascii="Times New Roman" w:hAnsi="Times New Roman" w:eastAsia="Times New Roman"/>
                <w:sz w:val="14"/>
              </w:rPr>
              <w:t>7.40</w:t>
            </w:r>
          </w:p>
        </w:tc>
      </w:tr>
    </w:tbl>
    <w:p>
      <w:pPr>
        <w:pStyle w:val="Caption"/>
      </w:pPr>
      <w:r>
        <w:rPr>
          <w:rFonts w:ascii="Times New Roman" w:hAnsi="Times New Roman" w:eastAsia="Times New Roman"/>
          <w:sz w:val="15"/>
        </w:rPr>
        <w:t>Bảng 6. Chi phí tính toán trên Tesla T4.</w:t>
      </w:r>
    </w:p>
    <w:p>
      <w:pPr/>
      <w:r>
        <w:rPr>
          <w:rFonts w:ascii="Times New Roman" w:hAnsi="Times New Roman" w:eastAsia="Times New Roman"/>
          <w:sz w:val="19"/>
        </w:rPr>
        <w:t>GUMNetHet không nhẹ bằng DLinear, nhưng nhỏ hơn đáng kể các Transformer đại diện và vẫn đạt độ trễ 1,42 ms/mẫu. Vì vậy lợi thế của mô hình là hiệu quả tương đối cao trong nhóm phi tuyến mạnh, phù hợp cho hệ thống giám sát và cập nhật dự báo cận thời gian thực.</w:t>
      </w:r>
    </w:p>
    <w:p>
      <w:pPr>
        <w:pStyle w:val="H1x"/>
        <w:keepNext/>
      </w:pPr>
      <w:r>
        <w:rPr>
          <w:rFonts w:ascii="Times New Roman" w:hAnsi="Times New Roman" w:eastAsia="Times New Roman"/>
        </w:rPr>
        <w:t>6. HẠN CHẾ VÀ NGUY CƠ ĐỐI VỚI TÍNH HỢP LỆ</w:t>
      </w:r>
    </w:p>
    <w:p>
      <w:pPr/>
      <w:r>
        <w:rPr>
          <w:rFonts w:ascii="Times New Roman" w:hAnsi="Times New Roman" w:eastAsia="Times New Roman"/>
          <w:sz w:val="19"/>
        </w:rPr>
        <w:t>Thứ nhất, kết quả hiện báo cáo trên seed=42; với các baseline deep learning, chênh lệch nhỏ dưới khoảng 3% cần được kiểm chứng bằng multi-seed và khoảng tin cậy. Thứ hai, các nguồn GPR và sản lượng có lịch công bố/revision riêng; lag rule giảm look-ahead bias nhưng chất lượng metadata thời điểm công bố vẫn là một nguồn rủi ro nội tại. Thứ ba, phần xác suất mới được đánh giá nội tại bằng PICP/PINAW; so sánh công bằng với probabilistic baselines như TFT-quantile, DeepAR hoặc N-HiTS-quantile và CRPS/WIS đầy đủ là bước tiếp theo cần thiết. Thứ tư, dữ liệu target là Platts thành phẩm, nên chưa thể suy rộng trực tiếp sang giá bán lẻ điều hành Việt Nam hay các sản phẩm khác như jet fuel/LPG.</w:t>
      </w:r>
    </w:p>
    <w:p>
      <w:pPr/>
      <w:r>
        <w:rPr>
          <w:rFonts w:ascii="Times New Roman" w:hAnsi="Times New Roman" w:eastAsia="Times New Roman"/>
          <w:sz w:val="19"/>
        </w:rPr>
        <w:t>Một hạn chế đáng chú ý khác là DA giảm mạnh ở H10 và H60 mặc dù MAE vẫn thấp. Hiện tượng này không phủ nhận ưu thế về sai số mức nhưng cho thấy mục tiêu tối ưu hiện tại chưa trực tiếp khuyến khích classification hướng. Nếu ứng dụng yêu cầu tín hiệu tăng/giảm, có thể bổ sung auxiliary directional loss hoặc multi-task head và đánh giá calibration cho xác suất hướng.</w:t>
      </w:r>
    </w:p>
    <w:p>
      <w:pPr>
        <w:pStyle w:val="H1x"/>
        <w:keepNext/>
      </w:pPr>
      <w:r>
        <w:rPr>
          <w:rFonts w:ascii="Times New Roman" w:hAnsi="Times New Roman" w:eastAsia="Times New Roman"/>
        </w:rPr>
        <w:t>7. KẾT LUẬN</w:t>
      </w:r>
    </w:p>
    <w:p>
      <w:pPr/>
      <w:r>
        <w:rPr>
          <w:rFonts w:ascii="Times New Roman" w:hAnsi="Times New Roman" w:eastAsia="Times New Roman"/>
          <w:sz w:val="19"/>
        </w:rPr>
        <w:t>Bài báo trình bày GUMNetHet, một MoE dị thể cho dự báo xác suất đa horizon giá xăng dầu thành phẩm dưới cú sốc địa chính trị. Kiến trúc kết hợp CNN đa tỷ lệ, GRU-Attention và Wavelet-KAN thông qua router nhận biết horizon, cùng đầu ra đa phân vị và residual scaling. Trên expanding walk-forward, GUMNetHet đạt MAE thấp nhất trong nhóm baseline được báo cáo ở H1–H60 cho cả MG95 và DO 0.001%; lợi thế rõ nhất xuất hiện ở H60. Các bảng kết quả đầy đủ cho thấy ưu thế này đi kèm R² suy giảm ở horizon dài và DA thấp tại H10/H60, qua đó xác định rõ phạm vi sử dụng của mô hình. Ablation, fan chart và phân tích router hỗ trợ giả thuyết rằng phân vùng đặc trưng và định tuyến theo chế độ là nguồn chính của hiệu năng. Công việc tiếp theo tập trung vào multi-seed robustness, probabilistic baselines, kiểm định thống kê cho multi-step forecasts và tích hợp news embedding địa chính trị theo thời gian thực.</w:t>
      </w:r>
    </w:p>
    <w:p>
      <w:pPr>
        <w:pStyle w:val="H1x"/>
        <w:keepNext/>
      </w:pPr>
      <w:r>
        <w:rPr>
          <w:rFonts w:ascii="Times New Roman" w:hAnsi="Times New Roman" w:eastAsia="Times New Roman"/>
        </w:rPr>
        <w:t>LỜI CẢM ƠN</w:t>
      </w:r>
    </w:p>
    <w:p>
      <w:pPr/>
      <w:r>
        <w:rPr>
          <w:rFonts w:ascii="Times New Roman" w:hAnsi="Times New Roman" w:eastAsia="Times New Roman"/>
          <w:sz w:val="19"/>
        </w:rPr>
        <w:t>Nhóm tác giả cảm ơn Khoa Công nghệ Thông tin – Trường Đại học Công nghệ TP.HCM (HUTECH) và Khoa Công nghệ Thông tin – Trường Đại học Thủy lợi (TLU) đã hỗ trợ hạ tầng tính toán. Dữ liệu Platts chịu điều kiện giấy phép; mã nguồn, cấu hình và các đặc trưng phái sinh sẽ được công bố theo nguyên tắc FAIR [28].</w:t>
      </w:r>
    </w:p>
    <w:p>
      <w:pPr>
        <w:pStyle w:val="H1x"/>
        <w:keepNext/>
      </w:pPr>
      <w:r>
        <w:rPr>
          <w:rFonts w:ascii="Times New Roman" w:hAnsi="Times New Roman" w:eastAsia="Times New Roman"/>
        </w:rPr>
        <w:t>TÀI LIỆU THAM KHẢO</w:t>
      </w:r>
    </w:p>
    <w:p>
      <w:pPr>
        <w:pStyle w:val="Refs"/>
        <w:spacing w:after="30" w:line="240" w:lineRule="auto"/>
        <w:ind w:left="0" w:firstLine="0"/>
      </w:pPr>
      <w:r>
        <w:rPr>
          <w:rFonts w:ascii="Times New Roman" w:hAnsi="Times New Roman" w:eastAsia="Times New Roman"/>
          <w:sz w:val="15"/>
        </w:rPr>
        <w:t>[1] D. Caldara and M. Iacoviello, "Measuring geopolitical risk," American Economic Review, vol. 112, no. 4, pp. 1194–1225, 2022.</w:t>
      </w:r>
    </w:p>
    <w:p>
      <w:pPr>
        <w:pStyle w:val="Refs"/>
        <w:spacing w:after="30" w:line="240" w:lineRule="auto"/>
        <w:ind w:left="0" w:firstLine="0"/>
      </w:pPr>
      <w:r>
        <w:rPr>
          <w:rFonts w:ascii="Times New Roman" w:hAnsi="Times New Roman" w:eastAsia="Times New Roman"/>
          <w:sz w:val="15"/>
        </w:rPr>
        <w:t>[2] L. Kilian, "Not all oil price shocks are alike: Disentangling demand and supply shocks in the crude oil market," American Economic Review, vol. 99, no. 3, pp. 1053–1069, 2009.</w:t>
      </w:r>
    </w:p>
    <w:p>
      <w:pPr>
        <w:pStyle w:val="Refs"/>
        <w:spacing w:after="30" w:line="240" w:lineRule="auto"/>
        <w:ind w:left="0" w:firstLine="0"/>
      </w:pPr>
      <w:r>
        <w:rPr>
          <w:rFonts w:ascii="Times New Roman" w:hAnsi="Times New Roman" w:eastAsia="Times New Roman"/>
          <w:sz w:val="15"/>
        </w:rPr>
        <w:t>[3] C. Baumeister and L. Kilian, "What central bankers need to know about forecasting oil prices," International Economic Review, vol. 57, no. 3, pp. 869–896, 2016.</w:t>
      </w:r>
    </w:p>
    <w:p>
      <w:pPr>
        <w:pStyle w:val="Refs"/>
        <w:spacing w:after="30" w:line="240" w:lineRule="auto"/>
        <w:ind w:left="0" w:firstLine="0"/>
      </w:pPr>
      <w:r>
        <w:rPr>
          <w:rFonts w:ascii="Times New Roman" w:hAnsi="Times New Roman" w:eastAsia="Times New Roman"/>
          <w:sz w:val="15"/>
        </w:rPr>
        <w:t>[4] D. A. Dickey and W. A. Fuller, "Distribution of the estimators for autoregressive time series with a unit root," Journal of the American Statistical Association, vol. 74, no. 366a, pp. 427–431, 1979.</w:t>
      </w:r>
    </w:p>
    <w:p>
      <w:pPr>
        <w:pStyle w:val="Refs"/>
        <w:spacing w:after="30" w:line="240" w:lineRule="auto"/>
        <w:ind w:left="0" w:firstLine="0"/>
      </w:pPr>
      <w:r>
        <w:rPr>
          <w:rFonts w:ascii="Times New Roman" w:hAnsi="Times New Roman" w:eastAsia="Times New Roman"/>
          <w:sz w:val="15"/>
        </w:rPr>
        <w:t>[5] F. X. Diebold and R. S. Mariano, "Comparing predictive accuracy," Journal of Business &amp; Economic Statistics, vol. 13, no. 3, pp. 253–263, 1995.</w:t>
      </w:r>
    </w:p>
    <w:p>
      <w:pPr>
        <w:pStyle w:val="Refs"/>
        <w:spacing w:after="30" w:line="240" w:lineRule="auto"/>
        <w:ind w:left="0" w:firstLine="0"/>
      </w:pPr>
      <w:r>
        <w:rPr>
          <w:rFonts w:ascii="Times New Roman" w:hAnsi="Times New Roman" w:eastAsia="Times New Roman"/>
          <w:sz w:val="15"/>
        </w:rPr>
        <w:t>[6] T. Gneiting and A. E. Raftery, "Strictly proper scoring rules, prediction, and estimation," Journal of the American Statistical Association, vol. 102, no. 477, pp. 359–378, 2007.</w:t>
      </w:r>
    </w:p>
    <w:p>
      <w:pPr>
        <w:pStyle w:val="Refs"/>
        <w:spacing w:after="30" w:line="240" w:lineRule="auto"/>
        <w:ind w:left="0" w:firstLine="0"/>
      </w:pPr>
      <w:r>
        <w:rPr>
          <w:rFonts w:ascii="Times New Roman" w:hAnsi="Times New Roman" w:eastAsia="Times New Roman"/>
          <w:sz w:val="15"/>
        </w:rPr>
        <w:t>[7] R. J. Hyndman and A. B. Koehler, "Another look at measures of forecast accuracy," International Journal of Forecasting, vol. 22, no. 4, pp. 679–688, 2006.</w:t>
      </w:r>
    </w:p>
    <w:p>
      <w:pPr>
        <w:pStyle w:val="Refs"/>
        <w:spacing w:after="30" w:line="240" w:lineRule="auto"/>
        <w:ind w:left="0" w:firstLine="0"/>
      </w:pPr>
      <w:r>
        <w:rPr>
          <w:rFonts w:ascii="Times New Roman" w:hAnsi="Times New Roman" w:eastAsia="Times New Roman"/>
          <w:sz w:val="15"/>
        </w:rPr>
        <w:t>[8] Y. Nie, N. H. Nguyen, P. Sinthong, and J. Kalagnanam, "A time series is worth 64 words: Long-term forecasting with transformers," in Proc. ICLR, 2023.</w:t>
      </w:r>
    </w:p>
    <w:p>
      <w:pPr>
        <w:pStyle w:val="Refs"/>
        <w:spacing w:after="30" w:line="240" w:lineRule="auto"/>
        <w:ind w:left="0" w:firstLine="0"/>
      </w:pPr>
      <w:r>
        <w:rPr>
          <w:rFonts w:ascii="Times New Roman" w:hAnsi="Times New Roman" w:eastAsia="Times New Roman"/>
          <w:sz w:val="15"/>
        </w:rPr>
        <w:t>[9] Y. Liu, T. Hu, H. Zhang, H. Wu, S. Wang, L. Ma, and M. Long, "iTransformer: Inverted transformers are effective for time series forecasting," in Proc. ICLR, 2024.</w:t>
      </w:r>
    </w:p>
    <w:p>
      <w:pPr>
        <w:pStyle w:val="Refs"/>
        <w:spacing w:after="30" w:line="240" w:lineRule="auto"/>
        <w:ind w:left="0" w:firstLine="0"/>
      </w:pPr>
      <w:r>
        <w:rPr>
          <w:rFonts w:ascii="Times New Roman" w:hAnsi="Times New Roman" w:eastAsia="Times New Roman"/>
          <w:sz w:val="15"/>
        </w:rPr>
        <w:t>[10] H. Wu, T. Hu, Y. Liu, H. Zhou, J. Wang, and M. Long, "TimesNet: Temporal 2D-variation modeling for general time series analysis," in Proc. ICLR, 2023.</w:t>
      </w:r>
    </w:p>
    <w:p>
      <w:pPr>
        <w:pStyle w:val="Refs"/>
        <w:spacing w:after="30" w:line="240" w:lineRule="auto"/>
        <w:ind w:left="0" w:firstLine="0"/>
      </w:pPr>
      <w:r>
        <w:rPr>
          <w:rFonts w:ascii="Times New Roman" w:hAnsi="Times New Roman" w:eastAsia="Times New Roman"/>
          <w:sz w:val="15"/>
        </w:rPr>
        <w:t>[11] A. Zeng, M. Chen, L. Zhang, and Q. Xu, "Are transformers effective for time series forecasting?" in Proc. AAAI, vol. 37, no. 9, 2023, pp. 11121–11128.</w:t>
      </w:r>
    </w:p>
    <w:p>
      <w:pPr>
        <w:pStyle w:val="Refs"/>
        <w:spacing w:after="30" w:line="240" w:lineRule="auto"/>
        <w:ind w:left="0" w:firstLine="0"/>
      </w:pPr>
      <w:r>
        <w:rPr>
          <w:rFonts w:ascii="Times New Roman" w:hAnsi="Times New Roman" w:eastAsia="Times New Roman"/>
          <w:sz w:val="15"/>
        </w:rPr>
        <w:t>[12] B. Lim, S. Ö. Arık, N. Loeff, and T. Pfister, "Temporal Fusion Transformers for interpretable multi-horizon time series forecasting," International Journal of Forecasting, vol. 37, no. 4, pp. 1748–1764, 2021.</w:t>
      </w:r>
    </w:p>
    <w:p>
      <w:pPr>
        <w:pStyle w:val="Refs"/>
        <w:spacing w:after="30" w:line="240" w:lineRule="auto"/>
        <w:ind w:left="0" w:firstLine="0"/>
      </w:pPr>
      <w:r>
        <w:rPr>
          <w:rFonts w:ascii="Times New Roman" w:hAnsi="Times New Roman" w:eastAsia="Times New Roman"/>
          <w:sz w:val="15"/>
        </w:rPr>
        <w:t>[13] B. N. Oreshkin, D. Carpov, N. Chapados, and Y. Bengio, "N-BEATS: Neural basis expansion analysis for interpretable time series forecasting," in Proc. ICLR, 2020.</w:t>
      </w:r>
    </w:p>
    <w:p>
      <w:pPr>
        <w:pStyle w:val="Refs"/>
        <w:spacing w:after="30" w:line="240" w:lineRule="auto"/>
        <w:ind w:left="0" w:firstLine="0"/>
      </w:pPr>
      <w:r>
        <w:rPr>
          <w:rFonts w:ascii="Times New Roman" w:hAnsi="Times New Roman" w:eastAsia="Times New Roman"/>
          <w:sz w:val="15"/>
        </w:rPr>
        <w:t>[14] C. Challu, K. G. Olivares, B. N. Oreshkin, F. Garza, M. Mergenthaler-Canseco, and A. Dubrawski, "N-HiTS: Neural hierarchical interpolation for time series forecasting," in Proc. AAAI, vol. 37, no. 6, 2023, pp. 6989–6997.</w:t>
      </w:r>
    </w:p>
    <w:p>
      <w:pPr>
        <w:pStyle w:val="Refs"/>
        <w:spacing w:after="30" w:line="240" w:lineRule="auto"/>
        <w:ind w:left="0" w:firstLine="0"/>
      </w:pPr>
      <w:r>
        <w:rPr>
          <w:rFonts w:ascii="Times New Roman" w:hAnsi="Times New Roman" w:eastAsia="Times New Roman"/>
          <w:sz w:val="15"/>
        </w:rPr>
        <w:t>[15] A. Gu and T. Dao, "Mamba: Linear-time sequence modeling with selective state spaces," arXiv preprint arXiv:2312.00752, 2023.</w:t>
      </w:r>
    </w:p>
    <w:p>
      <w:pPr>
        <w:pStyle w:val="Refs"/>
        <w:spacing w:after="30" w:line="240" w:lineRule="auto"/>
        <w:ind w:left="0" w:firstLine="0"/>
      </w:pPr>
      <w:r>
        <w:rPr>
          <w:rFonts w:ascii="Times New Roman" w:hAnsi="Times New Roman" w:eastAsia="Times New Roman"/>
          <w:sz w:val="15"/>
        </w:rPr>
        <w:t>[16] A. F. Ansari et al., "Chronos: Learning the language of time series," Transactions on Machine Learning Research, 2024.</w:t>
      </w:r>
    </w:p>
    <w:p>
      <w:pPr>
        <w:pStyle w:val="Refs"/>
        <w:spacing w:after="30" w:line="240" w:lineRule="auto"/>
        <w:ind w:left="0" w:firstLine="0"/>
      </w:pPr>
      <w:r>
        <w:rPr>
          <w:rFonts w:ascii="Times New Roman" w:hAnsi="Times New Roman" w:eastAsia="Times New Roman"/>
          <w:sz w:val="15"/>
        </w:rPr>
        <w:t>[17] A. Das, W. Kong, R. Sen, and Y. Zhou, "A decoder-only foundation model for time-series forecasting," in Proc. ICML, 2024.</w:t>
      </w:r>
    </w:p>
    <w:p>
      <w:pPr>
        <w:pStyle w:val="Refs"/>
        <w:spacing w:after="30" w:line="240" w:lineRule="auto"/>
        <w:ind w:left="0" w:firstLine="0"/>
      </w:pPr>
      <w:r>
        <w:rPr>
          <w:rFonts w:ascii="Times New Roman" w:hAnsi="Times New Roman" w:eastAsia="Times New Roman"/>
          <w:sz w:val="15"/>
        </w:rPr>
        <w:t>[18] G. Woo, C. Liu, A. Kumar, C. Xiong, S. Savarese, and D. Sahoo, "Unified training of universal time series forecasting transformers," in Proc. ICML, 2024.</w:t>
      </w:r>
    </w:p>
    <w:p>
      <w:pPr>
        <w:pStyle w:val="Refs"/>
        <w:spacing w:after="30" w:line="240" w:lineRule="auto"/>
        <w:ind w:left="0" w:firstLine="0"/>
      </w:pPr>
      <w:r>
        <w:rPr>
          <w:rFonts w:ascii="Times New Roman" w:hAnsi="Times New Roman" w:eastAsia="Times New Roman"/>
          <w:sz w:val="15"/>
        </w:rPr>
        <w:t>[19] V. Ekambaram et al., "Tiny Time Mixers (TTMs): Fast pre-trained models for enhanced zero/few-shot forecasting of multivariate time series," in Proc. NeurIPS, 2024.</w:t>
      </w:r>
    </w:p>
    <w:p>
      <w:pPr>
        <w:pStyle w:val="Refs"/>
        <w:spacing w:after="30" w:line="240" w:lineRule="auto"/>
        <w:ind w:left="0" w:firstLine="0"/>
      </w:pPr>
      <w:r>
        <w:rPr>
          <w:rFonts w:ascii="Times New Roman" w:hAnsi="Times New Roman" w:eastAsia="Times New Roman"/>
          <w:sz w:val="15"/>
        </w:rPr>
        <w:t>[20] R. A. Jacobs, M. I. Jordan, S. J. Nowlan, and G. E. Hinton, "Adaptive mixtures of local experts," Neural Computation, vol. 3, no. 1, pp. 79–87, 1991.</w:t>
      </w:r>
    </w:p>
    <w:p>
      <w:pPr>
        <w:pStyle w:val="Refs"/>
        <w:spacing w:after="30" w:line="240" w:lineRule="auto"/>
        <w:ind w:left="0" w:firstLine="0"/>
      </w:pPr>
      <w:r>
        <w:rPr>
          <w:rFonts w:ascii="Times New Roman" w:hAnsi="Times New Roman" w:eastAsia="Times New Roman"/>
          <w:sz w:val="15"/>
        </w:rPr>
        <w:t>[21] N. Shazeer et al., "Outrageously large neural networks: The sparsely-gated mixture-of-experts layer," in Proc. ICLR, 2017.</w:t>
      </w:r>
    </w:p>
    <w:p>
      <w:pPr>
        <w:pStyle w:val="Refs"/>
        <w:spacing w:after="30" w:line="240" w:lineRule="auto"/>
        <w:ind w:left="0" w:firstLine="0"/>
      </w:pPr>
      <w:r>
        <w:rPr>
          <w:rFonts w:ascii="Times New Roman" w:hAnsi="Times New Roman" w:eastAsia="Times New Roman"/>
          <w:sz w:val="15"/>
        </w:rPr>
        <w:t>[22] W. Fedus, B. Zoph, and N. Shazeer, "Switch Transformers: Scaling to trillion parameter models with simple and efficient sparsity," Journal of Machine Learning Research, vol. 23, no. 120, pp. 1–39, 2022.</w:t>
      </w:r>
    </w:p>
    <w:p>
      <w:pPr>
        <w:pStyle w:val="Refs"/>
        <w:spacing w:after="30" w:line="240" w:lineRule="auto"/>
        <w:ind w:left="0" w:firstLine="0"/>
      </w:pPr>
      <w:r>
        <w:rPr>
          <w:rFonts w:ascii="Times New Roman" w:hAnsi="Times New Roman" w:eastAsia="Times New Roman"/>
          <w:sz w:val="15"/>
        </w:rPr>
        <w:t>[23] Z. Liu et al., "KAN: Kolmogorov–Arnold Networks," arXiv preprint arXiv:2404.19756, 2024.</w:t>
      </w:r>
    </w:p>
    <w:p>
      <w:pPr>
        <w:pStyle w:val="Refs"/>
        <w:spacing w:after="30" w:line="240" w:lineRule="auto"/>
        <w:ind w:left="0" w:firstLine="0"/>
      </w:pPr>
      <w:r>
        <w:rPr>
          <w:rFonts w:ascii="Times New Roman" w:hAnsi="Times New Roman" w:eastAsia="Times New Roman"/>
          <w:sz w:val="15"/>
        </w:rPr>
        <w:t>[24] Z. Bozorgasl and H. Chen, "Wav-KAN: Wavelet Kolmogorov–Arnold networks," arXiv preprint arXiv:2405.12832, 2024.</w:t>
      </w:r>
    </w:p>
    <w:p>
      <w:pPr>
        <w:pStyle w:val="Refs"/>
        <w:spacing w:after="30" w:line="240" w:lineRule="auto"/>
        <w:ind w:left="0" w:firstLine="0"/>
      </w:pPr>
      <w:r>
        <w:rPr>
          <w:rFonts w:ascii="Times New Roman" w:hAnsi="Times New Roman" w:eastAsia="Times New Roman"/>
          <w:sz w:val="15"/>
        </w:rPr>
        <w:t>[25] I. Daubechies, Ten Lectures on Wavelets. Philadelphia, PA, USA: SIAM, 1992.</w:t>
      </w:r>
    </w:p>
    <w:p>
      <w:pPr>
        <w:pStyle w:val="Refs"/>
        <w:spacing w:after="30" w:line="240" w:lineRule="auto"/>
        <w:ind w:left="0" w:firstLine="0"/>
      </w:pPr>
      <w:r>
        <w:rPr>
          <w:rFonts w:ascii="Times New Roman" w:hAnsi="Times New Roman" w:eastAsia="Times New Roman"/>
          <w:sz w:val="15"/>
        </w:rPr>
        <w:t>[26] X. Shi et al., "Time-MoE: Billion-scale time series foundation models with mixture of experts," in Proc. ICLR, 2025.</w:t>
      </w:r>
    </w:p>
    <w:p>
      <w:pPr>
        <w:pStyle w:val="Refs"/>
        <w:spacing w:after="30" w:line="240" w:lineRule="auto"/>
        <w:ind w:left="0" w:firstLine="0"/>
      </w:pPr>
      <w:r>
        <w:rPr>
          <w:rFonts w:ascii="Times New Roman" w:hAnsi="Times New Roman" w:eastAsia="Times New Roman"/>
          <w:sz w:val="15"/>
        </w:rPr>
        <w:t>[27] S. Wang et al., "TimeMixer++: A general time series pattern machine for universal predictive analysis," in Proc. ICLR, 2025.</w:t>
      </w:r>
    </w:p>
    <w:p>
      <w:pPr>
        <w:pStyle w:val="Refs"/>
        <w:spacing w:after="30" w:line="240" w:lineRule="auto"/>
        <w:ind w:left="0" w:firstLine="0"/>
      </w:pPr>
      <w:r>
        <w:rPr>
          <w:rFonts w:ascii="Times New Roman" w:hAnsi="Times New Roman" w:eastAsia="Times New Roman"/>
          <w:sz w:val="15"/>
        </w:rPr>
        <w:t>[28] M. D. Wilkinson et al., "The FAIR Guiding Principles for scientific data management and stewardship," Scientific Data, vol. 3, art. 160018, 2016.</w:t>
      </w:r>
    </w:p>
    <w:sectPr w:rsidR="00FC693F" w:rsidRPr="0006063C" w:rsidSect="00034616">
      <w:footerReference w:type="default" r:id="rId9"/>
      <w:pgSz w:w="11906" w:h="16838"/>
      <w:pgMar w:top="879" w:right="879" w:bottom="879" w:left="879"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GUMNetHet – Bản thảo hội nghị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
      <w:jc w:val="center"/>
    </w:pPr>
    <w:rPr>
      <w:rFonts w:ascii="Times New Roman" w:hAnsi="Times New Roman" w:eastAsia="Times New Roman"/>
      <w:b w:val="0"/>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hAnsi="Times New Roman" w:eastAsia="Times New Roman"/>
      <w:b/>
      <w:sz w:val="28"/>
    </w:rPr>
  </w:style>
  <w:style w:type="paragraph" w:customStyle="1" w:styleId="Authors">
    <w:name w:val="Authors"/>
    <w:pPr>
      <w:spacing w:after="40" w:line="240" w:lineRule="auto"/>
      <w:jc w:val="center"/>
    </w:pPr>
    <w:rPr>
      <w:rFonts w:ascii="Times New Roman" w:hAnsi="Times New Roman" w:eastAsia="Times New Roman"/>
      <w:b w:val="0"/>
      <w:sz w:val="20"/>
    </w:rPr>
  </w:style>
  <w:style w:type="paragraph" w:customStyle="1" w:styleId="Affil">
    <w:name w:val="Affil"/>
    <w:pPr>
      <w:spacing w:after="40" w:line="240" w:lineRule="auto"/>
      <w:jc w:val="center"/>
    </w:pPr>
    <w:rPr>
      <w:rFonts w:ascii="Times New Roman" w:hAnsi="Times New Roman" w:eastAsia="Times New Roman"/>
      <w:b w:val="0"/>
      <w:sz w:val="17"/>
    </w:rPr>
  </w:style>
  <w:style w:type="paragraph" w:customStyle="1" w:styleId="H1x">
    <w:name w:val="H1x"/>
    <w:pPr>
      <w:spacing w:after="40" w:line="240" w:lineRule="auto"/>
    </w:pPr>
    <w:rPr>
      <w:rFonts w:ascii="Times New Roman" w:hAnsi="Times New Roman" w:eastAsia="Times New Roman"/>
      <w:b/>
      <w:sz w:val="22"/>
    </w:rPr>
  </w:style>
  <w:style w:type="paragraph" w:customStyle="1" w:styleId="H2x">
    <w:name w:val="H2x"/>
    <w:pPr>
      <w:spacing w:after="40" w:line="240" w:lineRule="auto"/>
    </w:pPr>
    <w:rPr>
      <w:rFonts w:ascii="Times New Roman" w:hAnsi="Times New Roman" w:eastAsia="Times New Roman"/>
      <w:b/>
      <w:sz w:val="20"/>
    </w:rPr>
  </w:style>
  <w:style w:type="paragraph" w:customStyle="1" w:styleId="Abstract">
    <w:name w:val="Abstract"/>
    <w:pPr>
      <w:spacing w:after="40" w:line="240" w:lineRule="auto"/>
      <w:jc w:val="both"/>
    </w:pPr>
    <w:rPr>
      <w:rFonts w:ascii="Times New Roman" w:hAnsi="Times New Roman" w:eastAsia="Times New Roman"/>
      <w:b w:val="0"/>
      <w:sz w:val="18"/>
    </w:rPr>
  </w:style>
  <w:style w:type="paragraph" w:customStyle="1" w:styleId="Refs">
    <w:name w:val="Refs"/>
    <w:pPr>
      <w:spacing w:after="20" w:line="240" w:lineRule="auto"/>
      <w:jc w:val="both"/>
    </w:pPr>
    <w:rPr>
      <w:rFonts w:ascii="Times New Roman" w:hAnsi="Times New Roman" w:eastAsia="Times New Roman"/>
      <w:b w:val="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