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(PICP=82.4%, PINAW=0.142);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r>
        <w:t xml:space="preserve">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and 100 for H1–H5.</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DA_h = (1 / M) · ∑_{t=1}^{M} 1( sgn(P̂_{t+h} - P_t) == sgn(P_{t+h} - P_t) ) × 100%, where M = T - h + 1 denotes the total number of evaluated forecast steps in the out-of-sample window, P_t is the known spot price at forecast origin t, P̂_{t+h} is the predicted spot price level recovered from the median quantile return (q̂_{0.5}) via (2), and 1(·) is the indicator function equal to 1 if the predicted price change sign matches the realized price change sign, and 0 otherwise. Probabilistic interval forecasts (q ∈ {0.1, 0.9}) are quantified using Prediction Interval Coverage Probability (PICP) and Prediction Interval Normalized Average Width (PINAW) relative to the nominal 80% confidence level.</w:t>
      </w:r>
      <w:r>
        <w:t xml:space="preserve"> All baselines are implemented with their published default hyperparameters and standard squared-error training objectives, without additional horizon-specific tuning. Each baseline receives an identical 31-dimensional input feature vector (price series, Platts benchmark spreads, macroeconomic covariates, crack spread ratios, realized volatility measures, and calendar encodings),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(P̂_{t+h}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which simultaneously evaluates sharpness and calibration without requiring exact nominal coverage.</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PICP=82.4% (exceeding nominal 80%) with a normalized average width of PINAW=0.142.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