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9340F2"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6001C1"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8F29A6"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21AD9BDC" w:rsidR="005E48DE" w:rsidRDefault="005E48DE" w:rsidP="00064B27">
            <w:pPr>
              <w:rPr>
                <w:lang w:val="en-US"/>
              </w:rPr>
            </w:pPr>
            <w:r>
              <w:rPr>
                <w:lang w:val="en-US"/>
              </w:rPr>
              <w:t>KDD99</w:t>
            </w:r>
            <w:r w:rsidR="00122CEB">
              <w:rPr>
                <w:lang w:val="en-US"/>
              </w:rPr>
              <w:t xml:space="preserve"> (after remove class with number of </w:t>
            </w:r>
            <w:proofErr w:type="gramStart"/>
            <w:r w:rsidR="00122CEB">
              <w:rPr>
                <w:lang w:val="en-US"/>
              </w:rPr>
              <w:t>instance</w:t>
            </w:r>
            <w:proofErr w:type="gramEnd"/>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77777777" w:rsidR="005E48DE" w:rsidRPr="00976A2E" w:rsidRDefault="005E48DE" w:rsidP="00064B27">
            <w:pPr>
              <w:rPr>
                <w:lang w:val="en-US"/>
              </w:rPr>
            </w:pPr>
            <w:r>
              <w:rPr>
                <w:lang w:val="en-US"/>
              </w:rPr>
              <w:t>73.74</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7777777" w:rsidR="005E48DE" w:rsidRDefault="005E48DE" w:rsidP="00064B27">
            <w:pPr>
              <w:rPr>
                <w:lang w:val="en-US"/>
              </w:rPr>
            </w:pPr>
            <w:r>
              <w:rPr>
                <w:lang w:val="en-US"/>
              </w:rPr>
              <w:t>99.21</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AE41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E41B3"/>
    <w:rsid w:val="00AF792F"/>
    <w:rsid w:val="00B06ACA"/>
    <w:rsid w:val="00B20547"/>
    <w:rsid w:val="00B34DC8"/>
    <w:rsid w:val="00B35616"/>
    <w:rsid w:val="00B42A69"/>
    <w:rsid w:val="00B442B0"/>
    <w:rsid w:val="00B51A7E"/>
    <w:rsid w:val="00B55175"/>
    <w:rsid w:val="00B80C38"/>
    <w:rsid w:val="00BB1494"/>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4963"/>
    <w:rsid w:val="00E21C30"/>
    <w:rsid w:val="00E25C19"/>
    <w:rsid w:val="00E31955"/>
    <w:rsid w:val="00E503E0"/>
    <w:rsid w:val="00E53B17"/>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20</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214</cp:revision>
  <dcterms:created xsi:type="dcterms:W3CDTF">2024-01-02T13:49:00Z</dcterms:created>
  <dcterms:modified xsi:type="dcterms:W3CDTF">2024-01-08T07:04:00Z</dcterms:modified>
</cp:coreProperties>
</file>