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Về ABC</w:t>
      </w:r>
    </w:p>
    <w:p>
      <w:r>
        <w:t>Công ty ABC (mẫu) là đơn vị cung cấp dịch vụ phát triển phần mềm và giải pháp AI (nội dung mẫu).</w:t>
      </w:r>
    </w:p>
    <w:p>
      <w:r>
        <w:t>Đội ngũ chuyên gia AI, dữ liệu và kỹ sư phần mềm phục vụ khách hàng tại Việt Nam, Nhật Bản và quốc tế.</w:t>
      </w:r>
    </w:p>
    <w:p>
      <w:r>
        <w:t>Thay đoạn này bằng giới thiệu chính thức của công ty.</w:t>
      </w:r>
    </w:p>
    <w:p>
      <w:pPr>
        <w:pStyle w:val="Heading1"/>
      </w:pPr>
      <w:r>
        <w:t>Đề xuất sơ bộ: Trợ lý hỏi đáp quy định nội bộ</w:t>
      </w:r>
    </w:p>
    <w:p>
      <w:pPr>
        <w:pStyle w:val="Heading2"/>
      </w:pPr>
      <w:r>
        <w:t>Bối cảnh</w:t>
      </w:r>
    </w:p>
    <w:p>
      <w:r>
        <w:t>Nhân viên mất trung bình 2 ngày để nhận phản hồi về quy định nội bộ.</w:t>
      </w:r>
    </w:p>
    <w:p>
      <w:pPr>
        <w:pStyle w:val="Heading2"/>
      </w:pPr>
      <w:r>
        <w:t>Giải pháp đề xuất</w:t>
      </w:r>
    </w:p>
    <w:p>
      <w:r>
        <w:t>Trợ lý hỏi đáp dùng RAG trên kho khoảng 800 văn bản, trả lời kèm trích dẫn.</w:t>
      </w:r>
    </w:p>
    <w:p>
      <w:pPr>
        <w:pStyle w:val="Heading2"/>
      </w:pPr>
      <w:r>
        <w:t>Effort dự kiến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6F21"/>
          </w:tcPr>
          <w:p>
            <w:r/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4320"/>
            <w:shd w:val="clear" w:fill="F26F21"/>
          </w:tcPr>
          <w:p>
            <w:r/>
            <w:r>
              <w:rPr>
                <w:b/>
                <w:color w:val="FFFFFF"/>
              </w:rPr>
              <w:t>Ngày công</w:t>
            </w:r>
          </w:p>
        </w:tc>
      </w:tr>
      <w:tr>
        <w:tc>
          <w:tcPr>
            <w:tcW w:type="dxa" w:w="4320"/>
          </w:tcPr>
          <w:p>
            <w:r>
              <w:t>PoC</w:t>
            </w:r>
          </w:p>
        </w:tc>
        <w:tc>
          <w:tcPr>
            <w:tcW w:type="dxa" w:w="4320"/>
          </w:tcPr>
          <w:p>
            <w:r>
              <w:t>10–15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30–50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60–100</w:t>
            </w:r>
          </w:p>
        </w:tc>
      </w:tr>
    </w:tbl>
    <w:p/>
    <w:p>
      <w:pPr>
        <w:pStyle w:val="Heading2"/>
      </w:pPr>
      <w:r>
        <w:t>Giả định</w:t>
      </w:r>
    </w:p>
    <w:p>
      <w:pPr>
        <w:pStyle w:val="ListBullet"/>
      </w:pPr>
      <w:r>
        <w:t>Văn bản ở dạng text, không cần OCR.</w:t>
      </w:r>
    </w:p>
    <w:p>
      <w:pPr>
        <w:pStyle w:val="Heading2"/>
      </w:pPr>
      <w:r>
        <w:t>Rủi ro</w:t>
      </w:r>
    </w:p>
    <w:p>
      <w:pPr>
        <w:pStyle w:val="ListBullet"/>
      </w:pPr>
      <w:r>
        <w:t>Trả lời sai điều khoản (mức 4): bắt buộc trích dẫn nguồn.</w:t>
      </w:r>
    </w:p>
    <w:p>
      <w:pPr>
        <w:pStyle w:val="Heading2"/>
      </w:pPr>
      <w:r>
        <w:t>Câu hỏi còn mở</w:t>
      </w:r>
    </w:p>
    <w:p>
      <w:pPr>
        <w:pStyle w:val="ListBullet"/>
      </w:pPr>
      <w:r>
        <w:t>Tần suất cập nhật văn bản?</w:t>
      </w:r>
    </w:p>
    <w:p>
      <w:pPr>
        <w:pStyle w:val="Heading2"/>
      </w:pPr>
      <w:r>
        <w:t>Dự án tương tự đã triển khai</w:t>
      </w:r>
    </w:p>
    <w:p>
      <w:r>
        <w:rPr>
          <w:i/>
        </w:rPr>
        <w:t>Case study được phép trình bày (số liệu minh họa)</w:t>
      </w:r>
    </w:p>
    <w:p>
      <w:pPr>
        <w:pStyle w:val="Heading3"/>
      </w:pPr>
      <w:r>
        <w:t>Trợ lý hỏi đáp quy định nội bộ cho ngân hàng (giả lập)</w:t>
      </w:r>
    </w:p>
    <w:p>
      <w:r>
        <w:rPr>
          <w:i/>
        </w:rPr>
        <w:t>Tài chính ngân hàng · Việt Nam · 2025 · 4 tháng</w:t>
      </w:r>
    </w:p>
    <w:p>
      <w:r>
        <w:rPr>
          <w:b/>
        </w:rPr>
        <w:t xml:space="preserve">Thách thức: </w:t>
      </w:r>
      <w:r>
        <w:t>Nhân viên chi nhánh phải chờ phòng pháp chế trả lời câu hỏi về quy định.</w:t>
      </w:r>
    </w:p>
    <w:p>
      <w:r>
        <w:rPr>
          <w:b/>
        </w:rPr>
        <w:t xml:space="preserve">Giải pháp: </w:t>
      </w:r>
      <w:r>
        <w:t>Hỏi đáp trên kho văn bản quy định, phân quyền theo phòng ban, lưu vết câu hỏi.</w:t>
      </w:r>
    </w:p>
    <w:p>
      <w:r>
        <w:rPr>
          <w:b/>
        </w:rPr>
        <w:t xml:space="preserve">Kết quả: </w:t>
      </w:r>
      <w:r>
        <w:t>Giảm 70% câu hỏi gửi phòng pháp chế; Thời gian trả lời từ 2 ngày xuống vài giây</w:t>
      </w:r>
    </w:p>
    <w:p>
      <w:pPr>
        <w:pStyle w:val="Heading3"/>
      </w:pPr>
      <w:r>
        <w:t>Chatbot tra cứu tài liệu kỹ thuật cho nhà sản xuất thiết bị (giả lập)</w:t>
      </w:r>
    </w:p>
    <w:p>
      <w:r>
        <w:rPr>
          <w:i/>
        </w:rPr>
        <w:t>Sản xuất · Nhật Bản · 2025 · 5 tháng</w:t>
      </w:r>
    </w:p>
    <w:p>
      <w:r>
        <w:rPr>
          <w:b/>
        </w:rPr>
        <w:t xml:space="preserve">Thách thức: </w:t>
      </w:r>
      <w:r>
        <w:t>Kỹ sư bảo trì mất nhiều thời gian tìm thông tin trong hàng nghìn trang manual tiếng Nhật.</w:t>
      </w:r>
    </w:p>
    <w:p>
      <w:r>
        <w:rPr>
          <w:b/>
        </w:rPr>
        <w:t xml:space="preserve">Giải pháp: </w:t>
      </w:r>
      <w:r>
        <w:t>Trợ lý RAG on-premise, trả lời kèm trích dẫn số trang, tích hợp vào cổng nội bộ.</w:t>
      </w:r>
    </w:p>
    <w:p>
      <w:r>
        <w:rPr>
          <w:b/>
        </w:rPr>
        <w:t xml:space="preserve">Kết quả: </w:t>
      </w:r>
      <w:r>
        <w:t>Giảm 60% thời gian tra cứu; 85% câu trả lời được kỹ sư đánh giá đúng</w:t>
      </w:r>
    </w:p>
    <w:p>
      <w:pPr>
        <w:pStyle w:val="Heading2"/>
      </w:pPr>
      <w:r>
        <w:t>Phương pháp triển khai</w:t>
      </w:r>
    </w:p>
    <w:p>
      <w:r>
        <w:t>Triển khai theo giai đoạn PoC → MVP → Production, mỗi giai đoạn có tiêu chí nghiệm thu rõ ràng.</w:t>
      </w:r>
    </w:p>
    <w:p>
      <w:r>
        <w:t>Làm việc theo sprint 2 tuần, demo định kỳ với khách hàng; đánh giá chất lượng AI bằng bộ test chuẩn.</w:t>
      </w:r>
    </w:p>
    <w:p>
      <w:pPr>
        <w:pStyle w:val="Heading2"/>
      </w:pPr>
      <w:r>
        <w:t>Bảo mật &amp; chất lượng</w:t>
      </w:r>
    </w:p>
    <w:p>
      <w:r>
        <w:t>Quy trình bảo mật thông tin và quản lý chất lượng theo tiêu chuẩn của công ty (nêu chứng chỉ thật tại đây).</w:t>
      </w:r>
    </w:p>
    <w:p>
      <w:r>
        <w:t>Dữ liệu cá nhân được ẩn danh trước khi xử lý; có thể triển khai on-premise theo yêu cầu.</w:t>
      </w:r>
    </w:p>
    <w:p>
      <w:pPr>
        <w:pStyle w:val="Heading2"/>
      </w:pPr>
      <w:r>
        <w:t>Bảo hành &amp; hỗ trợ</w:t>
      </w:r>
    </w:p>
    <w:p>
      <w:r>
        <w:t>Bảo hành lỗi 3 tháng sau nghiệm thu (số liệu mẫu). Gói vận hành và cải tiến mô hình được báo giá riêng.</w:t>
      </w:r>
    </w:p>
    <w:p>
      <w:pPr>
        <w:pStyle w:val="Heading2"/>
      </w:pPr>
      <w:r>
        <w:t>Điều khoản &amp; phạm vi loại trừ</w:t>
      </w:r>
    </w:p>
    <w:p>
      <w:r>
        <w:t>Báo giá có hiệu lực 30 ngày, chưa gồm VAT, chi phí bản quyền phần mềm, phần cứng và hạ tầng của khách hàng.</w:t>
      </w:r>
    </w:p>
    <w:p>
      <w:r>
        <w:t>Phạm vi ngoài các hạng mục nêu trong hồ sơ sẽ được thống nhất bằng yêu cầu thay đổi (change request).</w:t>
      </w:r>
    </w:p>
    <w:p>
      <w:r>
        <w:br w:type="page"/>
      </w:r>
    </w:p>
    <w:p>
      <w:pPr>
        <w:pStyle w:val="Heading1"/>
      </w:pPr>
      <w:r>
        <w:t>Phụ lục</w:t>
      </w:r>
    </w:p>
    <w:p>
      <w:r>
        <w:rPr>
          <w:i/>
        </w:rPr>
        <w:t xml:space="preserve">Các bảng dưới đây được ScopeAI tính bằng code từ kết quả phân tích. </w:t>
      </w:r>
    </w:p>
    <w:p>
      <w:pPr>
        <w:pStyle w:val="Heading2"/>
      </w:pPr>
      <w:r>
        <w:t>A. Effort theo giai đoạn</w:t>
      </w:r>
    </w:p>
    <w:p>
      <w:r>
        <w:t>Công thức: bảng chuẩn × 1 = ×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Ngày công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Đội ngũ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Bàn giao</w:t>
            </w:r>
          </w:p>
        </w:tc>
      </w:tr>
      <w:tr>
        <w:tc>
          <w:tcPr>
            <w:tcW w:type="dxa" w:w="2160"/>
          </w:tcPr>
          <w:p>
            <w:r>
              <w:t>PoC</w:t>
            </w:r>
          </w:p>
        </w:tc>
        <w:tc>
          <w:tcPr>
            <w:tcW w:type="dxa" w:w="2160"/>
          </w:tcPr>
          <w:p>
            <w:r>
              <w:t>10–15</w:t>
            </w:r>
          </w:p>
        </w:tc>
        <w:tc>
          <w:tcPr>
            <w:tcW w:type="dxa" w:w="2160"/>
          </w:tcPr>
          <w:p>
            <w:r>
              <w:t>AI engineer, Backend developer</w:t>
            </w:r>
          </w:p>
        </w:tc>
        <w:tc>
          <w:tcPr>
            <w:tcW w:type="dxa" w:w="2160"/>
          </w:tcPr>
          <w:p>
            <w:r>
              <w:t>Demo hỏi đáp trên 100 văn bản; Bộ câu hỏi đánh giá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30–50</w:t>
            </w:r>
          </w:p>
        </w:tc>
        <w:tc>
          <w:tcPr>
            <w:tcW w:type="dxa" w:w="2160"/>
          </w:tcPr>
          <w:p>
            <w:r>
              <w:t>AI engineer, Backend developer, Frontend developer, QA</w:t>
            </w:r>
          </w:p>
        </w:tc>
        <w:tc>
          <w:tcPr>
            <w:tcW w:type="dxa" w:w="2160"/>
          </w:tcPr>
          <w:p>
            <w:r>
              <w:t>Trợ lý hỏi đáp toàn bộ kho văn bản; Phân quyền theo phòng ban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60–100</w:t>
            </w:r>
          </w:p>
        </w:tc>
        <w:tc>
          <w:tcPr>
            <w:tcW w:type="dxa" w:w="2160"/>
          </w:tcPr>
          <w:p>
            <w:r>
              <w:t>AI engineer, Backend developer, Frontend developer, QA, DevOps</w:t>
            </w:r>
          </w:p>
        </w:tc>
        <w:tc>
          <w:tcPr>
            <w:tcW w:type="dxa" w:w="2160"/>
          </w:tcPr>
          <w:p>
            <w:r>
              <w:t>Vận hành chính thức; Giám sát chất lượng câu trả lời</w:t>
            </w:r>
          </w:p>
        </w:tc>
      </w:tr>
    </w:tbl>
    <w:p/>
    <w:p>
      <w:r>
        <w:rPr>
          <w:b/>
        </w:rPr>
        <w:t xml:space="preserve">Phạm vi KHÔNG bao gồm: </w:t>
      </w:r>
    </w:p>
    <w:p>
      <w:pPr>
        <w:pStyle w:val="ListBullet"/>
      </w:pPr>
      <w:r>
        <w:t>Ứng dụng di động native (iOS/Android)</w:t>
      </w:r>
    </w:p>
    <w:p>
      <w:pPr>
        <w:pStyle w:val="ListBullet"/>
      </w:pPr>
      <w:r>
        <w:t>Tích hợp hệ thống ERP hiện có chưa được liệt kê trong requirements</w:t>
      </w:r>
    </w:p>
    <w:p>
      <w:pPr>
        <w:pStyle w:val="ListBullet"/>
      </w:pPr>
      <w:r>
        <w:t>Di chuyển (migrate) toàn bộ dữ liệu lịch sử (chỉ nạp dữ liệu mẫu trong PoC)</w:t>
      </w:r>
    </w:p>
    <w:p>
      <w:pPr>
        <w:pStyle w:val="Heading2"/>
      </w:pPr>
      <w:r>
        <w:t>B. Thành phần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Thành phần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Công nghệ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Đọc Word/PDF, chia đoạn, gắn metadata điều khoản</w:t>
            </w:r>
          </w:p>
        </w:tc>
        <w:tc>
          <w:tcPr>
            <w:tcW w:type="dxa" w:w="2880"/>
          </w:tcPr>
          <w:p>
            <w:r>
              <w:t>Python, unstructured</w:t>
            </w:r>
          </w:p>
        </w:tc>
      </w:tr>
      <w:tr>
        <w:tc>
          <w:tcPr>
            <w:tcW w:type="dxa" w:w="2880"/>
          </w:tcPr>
          <w:p>
            <w:r>
              <w:t>Vector index</w:t>
            </w:r>
          </w:p>
        </w:tc>
        <w:tc>
          <w:tcPr>
            <w:tcW w:type="dxa" w:w="2880"/>
          </w:tcPr>
          <w:p>
            <w:r>
              <w:t>Lưu embedding để truy xuất đoạn liên quan</w:t>
            </w:r>
          </w:p>
        </w:tc>
        <w:tc>
          <w:tcPr>
            <w:tcW w:type="dxa" w:w="2880"/>
          </w:tcPr>
          <w:p>
            <w:r>
              <w:t>pgvector, OpenSearch</w:t>
            </w:r>
          </w:p>
        </w:tc>
      </w:tr>
      <w:tr>
        <w:tc>
          <w:tcPr>
            <w:tcW w:type="dxa" w:w="2880"/>
          </w:tcPr>
          <w:p>
            <w:r>
              <w:t>Chat API</w:t>
            </w:r>
          </w:p>
        </w:tc>
        <w:tc>
          <w:tcPr>
            <w:tcW w:type="dxa" w:w="2880"/>
          </w:tcPr>
          <w:p>
            <w:r>
              <w:t>Truy xuất + sinh câu trả lời kèm trích dẫn</w:t>
            </w:r>
          </w:p>
        </w:tc>
        <w:tc>
          <w:tcPr>
            <w:tcW w:type="dxa" w:w="2880"/>
          </w:tcPr>
          <w:p>
            <w:r>
              <w:t>FastAPI, LLM API</w:t>
            </w:r>
          </w:p>
        </w:tc>
      </w:tr>
      <w:tr>
        <w:tc>
          <w:tcPr>
            <w:tcW w:type="dxa" w:w="2880"/>
          </w:tcPr>
          <w:p>
            <w:r>
              <w:t>Web chat</w:t>
            </w:r>
          </w:p>
        </w:tc>
        <w:tc>
          <w:tcPr>
            <w:tcW w:type="dxa" w:w="2880"/>
          </w:tcPr>
          <w:p>
            <w:r>
              <w:t>Giao diện hỏi đáp cho nhân viên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</w:tr>
    </w:tbl>
    <w:p/>
    <w:p>
      <w:pPr>
        <w:pStyle w:val="Heading2"/>
      </w:pPr>
      <w:r>
        <w:t>C. WBS và lịch tổng thể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Đầu việc</w:t>
            </w:r>
          </w:p>
        </w:tc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Loại</w:t>
            </w:r>
          </w:p>
        </w:tc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Ngày công</w:t>
            </w:r>
          </w:p>
        </w:tc>
        <w:tc>
          <w:tcPr>
            <w:tcW w:type="dxa" w:w="1440"/>
            <w:shd w:val="clear" w:fill="F26F21"/>
          </w:tcPr>
          <w:p>
            <w:r/>
            <w:r>
              <w:rPr>
                <w:b/>
                <w:color w:val="FFFFFF"/>
              </w:rPr>
              <w:t>Thời gian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Kick-off và quản lý PoC</w:t>
            </w:r>
          </w:p>
        </w:tc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19/10–20/10/2026</w:t>
            </w:r>
          </w:p>
        </w:tc>
      </w:tr>
      <w:tr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Khảo sát dữ liệu &amp; yêu cầu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19/10–20/10/2026</w:t>
            </w:r>
          </w:p>
        </w:tc>
      </w:tr>
      <w:tr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Chuẩn bị dữ liệu mẫu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21/10–22/10/2026</w:t>
            </w:r>
          </w:p>
        </w:tc>
      </w:tr>
      <w:tr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Dựng prototype Chat API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21/10–21/10/2026</w:t>
            </w:r>
          </w:p>
        </w:tc>
      </w:tr>
      <w:tr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Đánh giá kết quả PoC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21/10–21/10/2026</w:t>
            </w:r>
          </w:p>
        </w:tc>
      </w:tr>
      <w:tr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PoC</w:t>
            </w:r>
          </w:p>
        </w:tc>
        <w:tc>
          <w:tcPr>
            <w:tcW w:type="dxa" w:w="1440"/>
          </w:tcPr>
          <w:p>
            <w:r>
              <w:t>Test và nghiệm thu PoC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23/10–26/10/2026</w:t>
            </w:r>
          </w:p>
        </w:tc>
      </w:tr>
      <w:tr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Quản lý dự án MVP</w:t>
            </w:r>
          </w:p>
        </w:tc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28/10–03/11/2026</w:t>
            </w:r>
          </w:p>
        </w:tc>
      </w:tr>
      <w:tr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Phân tích &amp; thiết kế chi tiết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28/10–03/11/2026</w:t>
            </w:r>
          </w:p>
        </w:tc>
      </w:tr>
      <w:tr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Chuẩn bị &amp; làm sạch dữ liệu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04/11–10/11/2026</w:t>
            </w:r>
          </w:p>
        </w:tc>
      </w:tr>
      <w:tr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Xây dựng Chat API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04/11–06/11/2026</w:t>
            </w:r>
          </w:p>
        </w:tc>
      </w:tr>
      <w:tr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Xây dựng Web chat</w:t>
            </w:r>
          </w:p>
        </w:tc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04/11–09/11/2026</w:t>
            </w:r>
          </w:p>
        </w:tc>
      </w:tr>
      <w:tr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Giao diện người dùng</w:t>
            </w:r>
          </w:p>
        </w:tc>
        <w:tc>
          <w:tcPr>
            <w:tcW w:type="dxa" w:w="1440"/>
          </w:tcPr>
          <w:p>
            <w:r>
              <w:t>FE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04/11–09/11/2026</w:t>
            </w:r>
          </w:p>
        </w:tc>
      </w:tr>
      <w:tr>
        <w:tc>
          <w:tcPr>
            <w:tcW w:type="dxa" w:w="1440"/>
          </w:tcPr>
          <w:p>
            <w:r>
              <w:t>2.7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Bộ đánh giá chất lượng</w:t>
            </w:r>
          </w:p>
        </w:tc>
        <w:tc>
          <w:tcPr>
            <w:tcW w:type="dxa" w:w="1440"/>
          </w:tcPr>
          <w:p>
            <w:r>
              <w:t>AI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04/11–05/11/2026</w:t>
            </w:r>
          </w:p>
        </w:tc>
      </w:tr>
      <w:tr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Test và nghiệm thu MVP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11/11–16/11/2026</w:t>
            </w:r>
          </w:p>
        </w:tc>
      </w:tr>
      <w:tr>
        <w:tc>
          <w:tcPr>
            <w:tcW w:type="dxa" w:w="1440"/>
          </w:tcPr>
          <w:p>
            <w:r>
              <w:t>2.9</w:t>
            </w:r>
          </w:p>
        </w:tc>
        <w:tc>
          <w:tcPr>
            <w:tcW w:type="dxa" w:w="1440"/>
          </w:tcPr>
          <w:p>
            <w:r>
              <w:t>MVP</w:t>
            </w:r>
          </w:p>
        </w:tc>
        <w:tc>
          <w:tcPr>
            <w:tcW w:type="dxa" w:w="1440"/>
          </w:tcPr>
          <w:p>
            <w:r>
              <w:t>Tài liệu và bàn giao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28/10–02/11/2026</w:t>
            </w:r>
          </w:p>
        </w:tc>
      </w:tr>
      <w:tr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Quản lý triển khai – đợt 1</w:t>
            </w:r>
          </w:p>
        </w:tc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20/11–30/11/2026</w:t>
            </w:r>
          </w:p>
        </w:tc>
      </w:tr>
      <w:tr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Quản lý triển khai – đợt 2</w:t>
            </w:r>
          </w:p>
        </w:tc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20/11–30/11/2026</w:t>
            </w:r>
          </w:p>
        </w:tc>
      </w:tr>
      <w:tr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Hardening &amp; bảo mật – đợt 1</w:t>
            </w:r>
          </w:p>
        </w:tc>
        <w:tc>
          <w:tcPr>
            <w:tcW w:type="dxa" w:w="1440"/>
          </w:tcPr>
          <w:p>
            <w:r>
              <w:t>INFRA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3.4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Hardening &amp; bảo mật – đợt 2</w:t>
            </w:r>
          </w:p>
        </w:tc>
        <w:tc>
          <w:tcPr>
            <w:tcW w:type="dxa" w:w="1440"/>
          </w:tcPr>
          <w:p>
            <w:r>
              <w:t>INFRA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Mở rộng Vector index – đợt 1</w:t>
            </w:r>
          </w:p>
        </w:tc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3.6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Mở rộng Vector index – đợt 2</w:t>
            </w:r>
          </w:p>
        </w:tc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Giám sát &amp; vận hành – đợt 1</w:t>
            </w:r>
          </w:p>
        </w:tc>
        <w:tc>
          <w:tcPr>
            <w:tcW w:type="dxa" w:w="1440"/>
          </w:tcPr>
          <w:p>
            <w:r>
              <w:t>INFRA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3.8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Giám sát &amp; vận hành – đợt 2</w:t>
            </w:r>
          </w:p>
        </w:tc>
        <w:tc>
          <w:tcPr>
            <w:tcW w:type="dxa" w:w="1440"/>
          </w:tcPr>
          <w:p>
            <w:r>
              <w:t>INFRA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01/12–09/12/2026</w:t>
            </w:r>
          </w:p>
        </w:tc>
      </w:tr>
      <w:tr>
        <w:tc>
          <w:tcPr>
            <w:tcW w:type="dxa" w:w="1440"/>
          </w:tcPr>
          <w:p>
            <w:r>
              <w:t>3.9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UAT và nghiệm thu – đợt 1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10/12–17/12/2026</w:t>
            </w:r>
          </w:p>
        </w:tc>
      </w:tr>
      <w:tr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UAT và nghiệm thu – đợt 2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10/12–17/12/2026</w:t>
            </w:r>
          </w:p>
        </w:tc>
      </w:tr>
      <w:tr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Đào tạo &amp; bàn giao – đợt 1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20/11–27/11/2026</w:t>
            </w:r>
          </w:p>
        </w:tc>
      </w:tr>
      <w:tr>
        <w:tc>
          <w:tcPr>
            <w:tcW w:type="dxa" w:w="1440"/>
          </w:tcPr>
          <w:p>
            <w:r>
              <w:t>3.12</w:t>
            </w:r>
          </w:p>
        </w:tc>
        <w:tc>
          <w:tcPr>
            <w:tcW w:type="dxa" w:w="1440"/>
          </w:tcPr>
          <w:p>
            <w:r>
              <w:t>Production</w:t>
            </w:r>
          </w:p>
        </w:tc>
        <w:tc>
          <w:tcPr>
            <w:tcW w:type="dxa" w:w="1440"/>
          </w:tcPr>
          <w:p>
            <w:r>
              <w:t>Đào tạo &amp; bàn giao – đợt 2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20/11–27/11/2026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Thanh toán (mặc định)</w:t>
            </w:r>
          </w:p>
        </w:tc>
      </w:tr>
      <w:tr>
        <w:tc>
          <w:tcPr>
            <w:tcW w:type="dxa" w:w="2880"/>
          </w:tcPr>
          <w:p>
            <w:r>
              <w:t>M1 – Kick-off</w:t>
            </w:r>
          </w:p>
        </w:tc>
        <w:tc>
          <w:tcPr>
            <w:tcW w:type="dxa" w:w="2880"/>
          </w:tcPr>
          <w:p>
            <w:r>
              <w:t>19/10/2026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M2 – Nghiệm thu PoC</w:t>
            </w:r>
          </w:p>
        </w:tc>
        <w:tc>
          <w:tcPr>
            <w:tcW w:type="dxa" w:w="2880"/>
          </w:tcPr>
          <w:p>
            <w:r>
              <w:t>27/10/2026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M3 – Nghiệm thu MVP</w:t>
            </w:r>
          </w:p>
        </w:tc>
        <w:tc>
          <w:tcPr>
            <w:tcW w:type="dxa" w:w="2880"/>
          </w:tcPr>
          <w:p>
            <w:r>
              <w:t>19/11/2026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M4 – Go-live</w:t>
            </w:r>
          </w:p>
        </w:tc>
        <w:tc>
          <w:tcPr>
            <w:tcW w:type="dxa" w:w="2880"/>
          </w:tcPr>
          <w:p>
            <w:r>
              <w:t>05/01/2027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/>
    <w:p>
      <w:r>
        <w:rPr>
          <w:b/>
        </w:rPr>
        <w:t xml:space="preserve">Ngoài phạm vi WBS: </w:t>
      </w:r>
    </w:p>
    <w:p>
      <w:pPr>
        <w:pStyle w:val="ListBullet"/>
      </w:pPr>
      <w:r>
        <w:t>Ứng dụng di động native (iOS/Android)</w:t>
      </w:r>
    </w:p>
    <w:p>
      <w:pPr>
        <w:pStyle w:val="ListBullet"/>
      </w:pPr>
      <w:r>
        <w:t>Tích hợp hệ thống ERP hiện có chưa được liệt kê trong requirements</w:t>
      </w:r>
    </w:p>
    <w:p>
      <w:pPr>
        <w:pStyle w:val="ListBullet"/>
      </w:pPr>
      <w:r>
        <w:t>Di chuyển (migrate) toàn bộ dữ liệu lịch sử (chỉ nạp dữ liệu mẫu trong PoC)</w:t>
      </w:r>
    </w:p>
    <w:p>
      <w:pPr>
        <w:pStyle w:val="Heading2"/>
      </w:pPr>
      <w:r>
        <w:t>D. Bảng đáp ứng yêu cầu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Mức đáp ứng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Nhân viên đặt câu hỏi bằng tiếng Việt và nhận câu trả lời kèm trích dẫn điều khoản</w:t>
            </w:r>
          </w:p>
        </w:tc>
        <w:tc>
          <w:tcPr>
            <w:tcW w:type="dxa" w:w="2160"/>
          </w:tcPr>
          <w:p>
            <w:r>
              <w:t>Đáp ứng</w:t>
            </w:r>
          </w:p>
        </w:tc>
        <w:tc>
          <w:tcPr>
            <w:tcW w:type="dxa" w:w="2160"/>
          </w:tcPr>
          <w:p>
            <w:r>
              <w:t>Đáp ứng trong phạm vi giải pháp đề xuất.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Hiển thị đoạn văn bản gốc và số trang của nguồn trích dẫn</w:t>
            </w:r>
          </w:p>
        </w:tc>
        <w:tc>
          <w:tcPr>
            <w:tcW w:type="dxa" w:w="2160"/>
          </w:tcPr>
          <w:p>
            <w:r>
              <w:t>Đáp ứng</w:t>
            </w:r>
          </w:p>
        </w:tc>
        <w:tc>
          <w:tcPr>
            <w:tcW w:type="dxa" w:w="2160"/>
          </w:tcPr>
          <w:p>
            <w:r>
              <w:t>Đáp ứng trong phạm vi giải pháp đề xuất.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Quản trị viên tải lên, cập nhật, gỡ văn bản quy định</w:t>
            </w:r>
          </w:p>
        </w:tc>
        <w:tc>
          <w:tcPr>
            <w:tcW w:type="dxa" w:w="2160"/>
          </w:tcPr>
          <w:p>
            <w:r>
              <w:t>Đáp ứng</w:t>
            </w:r>
          </w:p>
        </w:tc>
        <w:tc>
          <w:tcPr>
            <w:tcW w:type="dxa" w:w="2160"/>
          </w:tcPr>
          <w:p>
            <w:r>
              <w:t>Đáp ứng trong phạm vi giải pháp đề xuất.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Phân quyền xem tài liệu theo phòng ban, tích hợp SSO hiện có</w:t>
            </w:r>
          </w:p>
        </w:tc>
        <w:tc>
          <w:tcPr>
            <w:tcW w:type="dxa" w:w="2160"/>
          </w:tcPr>
          <w:p>
            <w:r>
              <w:t>Đáp ứng một phần</w:t>
            </w:r>
          </w:p>
        </w:tc>
        <w:tc>
          <w:tcPr>
            <w:tcW w:type="dxa" w:w="2160"/>
          </w:tcPr>
          <w:p>
            <w:r>
              <w:t>Đáp ứng khi khách cung cấp API/quyền truy cập hệ thống liên quan.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Thống kê câu hỏi thường gặp theo tuần</w:t>
            </w:r>
          </w:p>
        </w:tc>
        <w:tc>
          <w:tcPr>
            <w:tcW w:type="dxa" w:w="2160"/>
          </w:tcPr>
          <w:p>
            <w:r>
              <w:t>Đáp ứng</w:t>
            </w:r>
          </w:p>
        </w:tc>
        <w:tc>
          <w:tcPr>
            <w:tcW w:type="dxa" w:w="2160"/>
          </w:tcPr>
          <w:p>
            <w:r>
              <w:t>Đáp ứng trong phạm vi giải pháp đề xuất.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Ứng dụng di động offline cho nhân viên hiện trường</w:t>
            </w:r>
          </w:p>
        </w:tc>
        <w:tc>
          <w:tcPr>
            <w:tcW w:type="dxa" w:w="2160"/>
          </w:tcPr>
          <w:p>
            <w:r>
              <w:t>Không đáp ứng</w:t>
            </w:r>
          </w:p>
        </w:tc>
        <w:tc>
          <w:tcPr>
            <w:tcW w:type="dxa" w:w="2160"/>
          </w:tcPr>
          <w:p>
            <w:r>
              <w:t>Ngoài phạm vi đề xuất (ứng dụng di động/offline).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Tích hợp vào kênh chat nội bộ qua API</w:t>
            </w:r>
          </w:p>
        </w:tc>
        <w:tc>
          <w:tcPr>
            <w:tcW w:type="dxa" w:w="2160"/>
          </w:tcPr>
          <w:p>
            <w:r>
              <w:t>Đáp ứng một phần</w:t>
            </w:r>
          </w:p>
        </w:tc>
        <w:tc>
          <w:tcPr>
            <w:tcW w:type="dxa" w:w="2160"/>
          </w:tcPr>
          <w:p>
            <w:r>
              <w:t>Đáp ứng khi khách cung cấp API/quyền truy cập hệ thống liên quan.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Dùng AI</w:t>
            </w:r>
          </w:p>
        </w:tc>
        <w:tc>
          <w:tcPr>
            <w:tcW w:type="dxa" w:w="2160"/>
          </w:tcPr>
          <w:p>
            <w:r>
              <w:t>Cần làm rõ</w:t>
            </w:r>
          </w:p>
        </w:tc>
        <w:tc>
          <w:tcPr>
            <w:tcW w:type="dxa" w:w="2160"/>
          </w:tcPr>
          <w:p>
            <w:r>
              <w:t>Yêu cầu quá ngắn, cần khách mô tả rõ hơn.</w:t>
            </w:r>
          </w:p>
        </w:tc>
      </w:tr>
    </w:tbl>
    <w:p/>
    <w:p>
      <w:pPr>
        <w:pStyle w:val="Heading2"/>
      </w:pPr>
      <w:r>
        <w:t>E. Báo giá sơ bộ – Trọn gói (Fixed price)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Ngày công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Chi phí</w:t>
            </w:r>
          </w:p>
        </w:tc>
        <w:tc>
          <w:tcPr>
            <w:tcW w:type="dxa" w:w="2160"/>
            <w:shd w:val="clear" w:fill="F26F21"/>
          </w:tcPr>
          <w:p>
            <w:r/>
            <w:r>
              <w:rPr>
                <w:b/>
                <w:color w:val="FFFFFF"/>
              </w:rPr>
              <w:t>Khoảng ước tính</w:t>
            </w:r>
          </w:p>
        </w:tc>
      </w:tr>
      <w:tr>
        <w:tc>
          <w:tcPr>
            <w:tcW w:type="dxa" w:w="2160"/>
          </w:tcPr>
          <w:p>
            <w:r>
              <w:t>PoC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39.600.000 ₫</w:t>
            </w:r>
          </w:p>
        </w:tc>
        <w:tc>
          <w:tcPr>
            <w:tcW w:type="dxa" w:w="2160"/>
          </w:tcPr>
          <w:p>
            <w:r>
              <w:t>33.000.000 ₫ – 49.500.000 ₫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40.0</w:t>
            </w:r>
          </w:p>
        </w:tc>
        <w:tc>
          <w:tcPr>
            <w:tcW w:type="dxa" w:w="2160"/>
          </w:tcPr>
          <w:p>
            <w:r>
              <w:t>127.200.000 ₫</w:t>
            </w:r>
          </w:p>
        </w:tc>
        <w:tc>
          <w:tcPr>
            <w:tcW w:type="dxa" w:w="2160"/>
          </w:tcPr>
          <w:p>
            <w:r>
              <w:t>95.400.000 ₫ – 159.000.000 ₫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  <w:tc>
          <w:tcPr>
            <w:tcW w:type="dxa" w:w="2160"/>
          </w:tcPr>
          <w:p>
            <w:r>
              <w:t>240.600.000 ₫</w:t>
            </w:r>
          </w:p>
        </w:tc>
        <w:tc>
          <w:tcPr>
            <w:tcW w:type="dxa" w:w="2160"/>
          </w:tcPr>
          <w:p>
            <w:r>
              <w:t>180.450.000 ₫ – 300.750.000 ₫</w:t>
            </w:r>
          </w:p>
        </w:tc>
      </w:tr>
      <w:tr>
        <w:tc>
          <w:tcPr>
            <w:tcW w:type="dxa" w:w="2160"/>
          </w:tcPr>
          <w:p>
            <w:r>
              <w:t>Dự phòng rủi ro 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61.110.000 ₫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Tổng (đã gồm dự phòng)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468.510.000 ₫</w:t>
            </w:r>
          </w:p>
        </w:tc>
        <w:tc>
          <w:tcPr>
            <w:tcW w:type="dxa" w:w="2160"/>
          </w:tcPr>
          <w:p>
            <w:r>
              <w:t>355.178.000 ₫ – 585.638.000 ₫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Mốc thanh toán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2880"/>
            <w:shd w:val="clear" w:fill="F26F21"/>
          </w:tcPr>
          <w:p>
            <w:r/>
            <w:r>
              <w:rPr>
                <w:b/>
                <w:color w:val="FFFFFF"/>
              </w:rPr>
              <w:t>Số tiền</w:t>
            </w:r>
          </w:p>
        </w:tc>
      </w:tr>
      <w:tr>
        <w:tc>
          <w:tcPr>
            <w:tcW w:type="dxa" w:w="2880"/>
          </w:tcPr>
          <w:p>
            <w:r>
              <w:t>Ký hợp đồng / kick-off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140.553.000 ₫</w:t>
            </w:r>
          </w:p>
        </w:tc>
      </w:tr>
      <w:tr>
        <w:tc>
          <w:tcPr>
            <w:tcW w:type="dxa" w:w="2880"/>
          </w:tcPr>
          <w:p>
            <w:r>
              <w:t>Nghiệm thu MVP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187.404.000 ₫</w:t>
            </w:r>
          </w:p>
        </w:tc>
      </w:tr>
      <w:tr>
        <w:tc>
          <w:tcPr>
            <w:tcW w:type="dxa" w:w="2880"/>
          </w:tcPr>
          <w:p>
            <w:r>
              <w:t>Go-live production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140.553.000 ₫</w:t>
            </w:r>
          </w:p>
        </w:tc>
      </w:tr>
    </w:tbl>
    <w:p/>
    <w:p>
      <w:pPr>
        <w:pStyle w:val="ListBullet"/>
      </w:pPr>
      <w:r>
        <w:t>Mô hình hợp đồng: Trọn gói (Fixed price).</w:t>
      </w:r>
    </w:p>
    <w:p>
      <w:pPr>
        <w:pStyle w:val="ListBullet"/>
      </w:pPr>
      <w:r>
        <w:t>Đơn giá theo vai trò là số giả lập trong bảng đơn giá, cần thay bằng đơn giá thật.</w:t>
      </w:r>
    </w:p>
    <w:p>
      <w:pPr>
        <w:pStyle w:val="ListBullet"/>
      </w:pPr>
      <w:r>
        <w:t>Ngày công = WBS 132 (PM đã nằm trong WBS).</w:t>
      </w:r>
    </w:p>
    <w:p>
      <w:pPr>
        <w:pStyle w:val="ListBullet"/>
      </w:pPr>
      <w:r>
        <w:t>Tỉ lệ làm onsite 0% (đơn giá onsite cao hơn offshore).</w:t>
      </w:r>
    </w:p>
    <w:p>
      <w:pPr>
        <w:pStyle w:val="ListBullet"/>
      </w:pPr>
      <w:r>
        <w:t>Dự phòng rủi ro 15% (cơ bản 10%, +5% cho mỗi rủi ro mức 4–5).</w:t>
      </w:r>
    </w:p>
    <w:p>
      <w:pPr>
        <w:pStyle w:val="ListBullet"/>
      </w:pPr>
      <w:r>
        <w:t>Chưa bao gồm thuế VAT, chi phí bản quyền phần mềm và phần cứng mua mới.</w:t>
      </w:r>
    </w:p>
    <w:p>
      <w:pPr>
        <w:pStyle w:val="ListBullet"/>
      </w:pPr>
      <w:r>
        <w:t>Chi phí vận hành/tháng (hạ tầng + LLM API) là ước tính, tính riêng.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Công ty ABC (mẫu) · Tài liệu mật – chỉ dùng cho khách hàng được chỉ định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26F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11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C111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