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Mô tả hiện trạng (giả lập)</w:t>
      </w:r>
    </w:p>
    <w:p>
      <w:r>
        <w:t>Hiện có khoảng 800 văn bản quy định nội bộ dạng Word và PDF. Phòng pháp chế nhận 300 câu hỏi mỗi tháng qua email. Liên hệ: phap.che@example.vn, 0901 234 567.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Hệ thống</w:t>
            </w:r>
          </w:p>
        </w:tc>
        <w:tc>
          <w:tcPr>
            <w:tcW w:type="dxa" w:w="4320"/>
          </w:tcPr>
          <w:p>
            <w:r>
              <w:t>SharePoint nội bộ</w:t>
            </w:r>
          </w:p>
        </w:tc>
      </w:tr>
      <w:tr>
        <w:tc>
          <w:tcPr>
            <w:tcW w:type="dxa" w:w="4320"/>
          </w:tcPr>
          <w:p>
            <w:r>
              <w:t>SSO</w:t>
            </w:r>
          </w:p>
        </w:tc>
        <w:tc>
          <w:tcPr>
            <w:tcW w:type="dxa" w:w="4320"/>
          </w:tcPr>
          <w:p>
            <w:r>
              <w:t>Azure 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