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85" w:rsidRDefault="002F5D85" w:rsidP="002F5D85">
      <w:pPr>
        <w:pStyle w:val="Heading1"/>
        <w:tabs>
          <w:tab w:val="clear" w:pos="1134"/>
        </w:tabs>
        <w:spacing w:before="0"/>
        <w:ind w:left="0" w:firstLine="0"/>
        <w:rPr>
          <w:b w:val="0"/>
          <w:szCs w:val="28"/>
          <w:lang w:val="nb-NO"/>
        </w:rPr>
      </w:pPr>
      <w:bookmarkStart w:id="0" w:name="_Toc36664155"/>
      <w:bookmarkStart w:id="1" w:name="_Toc41230874"/>
      <w:bookmarkStart w:id="2" w:name="_Toc36664152"/>
      <w:bookmarkStart w:id="3" w:name="_Toc41230871"/>
      <w:bookmarkStart w:id="4" w:name="_GoBack"/>
      <w:bookmarkEnd w:id="4"/>
      <w:r w:rsidRPr="005E0CB4">
        <w:rPr>
          <w:szCs w:val="28"/>
          <w:lang w:val="nb-NO"/>
        </w:rPr>
        <w:t>1.</w:t>
      </w:r>
      <w:r>
        <w:rPr>
          <w:szCs w:val="28"/>
          <w:lang w:val="nb-NO"/>
        </w:rPr>
        <w:t>4</w:t>
      </w:r>
      <w:r w:rsidRPr="005E0CB4">
        <w:rPr>
          <w:szCs w:val="28"/>
          <w:lang w:val="nb-NO"/>
        </w:rPr>
        <w:t xml:space="preserve">. </w:t>
      </w:r>
      <w:r>
        <w:rPr>
          <w:szCs w:val="28"/>
          <w:lang w:val="nb-NO"/>
        </w:rPr>
        <w:t>Giới thiệu chung về khu vực nghiên cứu</w:t>
      </w:r>
      <w:bookmarkEnd w:id="2"/>
      <w:bookmarkEnd w:id="3"/>
    </w:p>
    <w:p w:rsidR="002F5D85" w:rsidRDefault="002F5D85" w:rsidP="002F5D85">
      <w:pPr>
        <w:pStyle w:val="Heading2"/>
        <w:tabs>
          <w:tab w:val="clear" w:pos="1440"/>
        </w:tabs>
        <w:spacing w:before="0"/>
        <w:ind w:left="0" w:firstLine="0"/>
        <w:rPr>
          <w:rFonts w:eastAsia="Times New Roman" w:cs="Times New Roman"/>
          <w:b w:val="0"/>
          <w:bCs w:val="0"/>
          <w:noProof/>
          <w:lang w:val="de-DE"/>
        </w:rPr>
      </w:pPr>
      <w:bookmarkStart w:id="5" w:name="_Toc533412209"/>
      <w:bookmarkStart w:id="6" w:name="_Toc36664153"/>
      <w:bookmarkStart w:id="7" w:name="_Toc41230872"/>
      <w:r w:rsidRPr="002F5D85">
        <w:rPr>
          <w:rFonts w:ascii="Times New Roman" w:hAnsi="Times New Roman" w:cs="Times New Roman"/>
          <w:color w:val="000000" w:themeColor="text1"/>
          <w:sz w:val="28"/>
          <w:lang w:val="de-DE"/>
        </w:rPr>
        <w:t xml:space="preserve">1.4.1. </w:t>
      </w:r>
      <w:bookmarkEnd w:id="5"/>
      <w:r w:rsidRPr="002F5D85">
        <w:rPr>
          <w:rFonts w:ascii="Times New Roman" w:hAnsi="Times New Roman" w:cs="Times New Roman"/>
          <w:color w:val="000000" w:themeColor="text1"/>
          <w:sz w:val="28"/>
          <w:lang w:val="de-DE"/>
        </w:rPr>
        <w:t>Đặc điểm điều kiện tự nhiên</w:t>
      </w:r>
      <w:bookmarkEnd w:id="6"/>
      <w:bookmarkEnd w:id="7"/>
    </w:p>
    <w:p w:rsidR="002F5D85" w:rsidRDefault="002F5D85" w:rsidP="002F5D85">
      <w:pPr>
        <w:keepNext/>
        <w:ind w:firstLine="0"/>
        <w:outlineLvl w:val="2"/>
        <w:rPr>
          <w:rFonts w:eastAsia="Times New Roman" w:cs="Times New Roman"/>
          <w:b/>
          <w:bCs/>
          <w:noProof/>
          <w:szCs w:val="26"/>
          <w:lang w:val="de-DE"/>
        </w:rPr>
      </w:pPr>
      <w:r w:rsidRPr="00B0468E">
        <w:rPr>
          <w:rFonts w:eastAsia="Times New Roman" w:cs="Times New Roman"/>
          <w:b/>
          <w:bCs/>
          <w:noProof/>
          <w:szCs w:val="26"/>
          <w:lang w:val="de-DE"/>
        </w:rPr>
        <w:t>1.</w:t>
      </w:r>
      <w:r>
        <w:rPr>
          <w:rFonts w:eastAsia="Times New Roman" w:cs="Times New Roman"/>
          <w:b/>
          <w:bCs/>
          <w:noProof/>
          <w:szCs w:val="26"/>
          <w:lang w:val="de-DE"/>
        </w:rPr>
        <w:t>4.</w:t>
      </w:r>
      <w:r w:rsidRPr="00B0468E">
        <w:rPr>
          <w:rFonts w:eastAsia="Times New Roman" w:cs="Times New Roman"/>
          <w:b/>
          <w:bCs/>
          <w:noProof/>
          <w:szCs w:val="26"/>
          <w:lang w:val="de-DE"/>
        </w:rPr>
        <w:t>1.</w:t>
      </w:r>
      <w:r>
        <w:rPr>
          <w:rFonts w:eastAsia="Times New Roman" w:cs="Times New Roman"/>
          <w:b/>
          <w:bCs/>
          <w:noProof/>
          <w:szCs w:val="26"/>
          <w:lang w:val="de-DE"/>
        </w:rPr>
        <w:t>2</w:t>
      </w:r>
      <w:r w:rsidRPr="00B0468E">
        <w:rPr>
          <w:rFonts w:eastAsia="Times New Roman" w:cs="Times New Roman"/>
          <w:b/>
          <w:bCs/>
          <w:noProof/>
          <w:szCs w:val="26"/>
          <w:lang w:val="de-DE"/>
        </w:rPr>
        <w:t xml:space="preserve">. </w:t>
      </w:r>
      <w:r>
        <w:rPr>
          <w:rFonts w:eastAsia="Times New Roman" w:cs="Times New Roman"/>
          <w:b/>
          <w:bCs/>
          <w:noProof/>
          <w:szCs w:val="26"/>
          <w:lang w:val="de-DE"/>
        </w:rPr>
        <w:t>Đặc điểm địa hình.</w:t>
      </w:r>
      <w:bookmarkEnd w:id="0"/>
      <w:bookmarkEnd w:id="1"/>
    </w:p>
    <w:p w:rsidR="002F5D85" w:rsidRPr="00C60552" w:rsidRDefault="002F5D85" w:rsidP="002F5D85">
      <w:pPr>
        <w:rPr>
          <w:rFonts w:eastAsia="Calibri" w:cs="Times New Roman"/>
          <w:color w:val="auto"/>
          <w:szCs w:val="26"/>
          <w:lang w:val="en-US"/>
        </w:rPr>
      </w:pPr>
      <w:r w:rsidRPr="00C60552">
        <w:rPr>
          <w:rFonts w:eastAsia="Calibri" w:cs="Times New Roman"/>
          <w:color w:val="auto"/>
          <w:szCs w:val="26"/>
          <w:lang w:val="en-US"/>
        </w:rPr>
        <w:t xml:space="preserve">Lưu vực sông Đồng Nai có hình nan quạt kéo dài từ cuối sườn Tây của dãy Trường Sơn thuộc Nam Trung Bộ, qua hết vùng Đông Nam Bộ đến giáp vùng Đồng Tháp Mười thuộc Đồng bằng sông Cửu Long. </w:t>
      </w:r>
    </w:p>
    <w:p w:rsidR="002F5D85" w:rsidRPr="00C60552" w:rsidRDefault="002F5D85" w:rsidP="002F5D85">
      <w:pPr>
        <w:rPr>
          <w:rFonts w:eastAsia="Times New Roman" w:cs="Times New Roman"/>
          <w:color w:val="auto"/>
          <w:szCs w:val="26"/>
          <w:lang w:val="en-US"/>
        </w:rPr>
      </w:pPr>
      <w:r w:rsidRPr="00C60552">
        <w:rPr>
          <w:rFonts w:eastAsia="Times New Roman" w:cs="Times New Roman"/>
          <w:color w:val="auto"/>
          <w:szCs w:val="26"/>
          <w:lang w:val="en-US"/>
        </w:rPr>
        <w:t xml:space="preserve">Cao độ địa hình thấp dần theo 3 hướng chính là Bắc-Nam (thượng lưu xuống hạ lưu dòng chính Đồng Nai), Đông-Tây (dòng chính Đồng Nai qua sông Bé, sông Sài Gòn và Vàm Cỏ) và Tây Bắc-Đông Nam (vùng ven biển) bao gồm nhiều loại: địa hình vùng núi, trung du, đồng bằng, và vùng ven biển.   </w:t>
      </w:r>
    </w:p>
    <w:p w:rsidR="002F5D85" w:rsidRPr="00C60552" w:rsidRDefault="002F5D85" w:rsidP="002F5D85">
      <w:pPr>
        <w:rPr>
          <w:rFonts w:eastAsia="Times New Roman" w:cs="Times New Roman"/>
          <w:color w:val="auto"/>
          <w:szCs w:val="26"/>
          <w:lang w:val="en-US"/>
        </w:rPr>
      </w:pPr>
      <w:r w:rsidRPr="00C60552">
        <w:rPr>
          <w:rFonts w:eastAsia="Times New Roman" w:cs="Times New Roman"/>
          <w:color w:val="auto"/>
          <w:szCs w:val="26"/>
          <w:lang w:val="en-US"/>
        </w:rPr>
        <w:t>Địa hình vùng núi phân bố chủ yếu ở thượng và trung lưu các dòng chính có diện tích chiếm gần 50% diện tích toàn lưu vực và có cao độ mặt đất từ vài trăm mét đến trên 2.000 m so với mực nước biển. Dạng địa hình này phù hợp với cây công nghiệp dài ngày và rau màu. Đây cũng là vùng có diện tích đất lâm nghiệp chiếm tỷ trọng lớn trong lưu vực và là nơi thuận lợi bố trí các công trình khai thác tổng hợp (</w:t>
      </w:r>
      <w:bookmarkStart w:id="8" w:name="VNS000F"/>
      <w:r w:rsidRPr="00C60552">
        <w:rPr>
          <w:rFonts w:eastAsia="Times New Roman" w:cs="Times New Roman"/>
          <w:color w:val="auto"/>
          <w:szCs w:val="26"/>
          <w:lang w:val="en-US"/>
        </w:rPr>
        <w:t>thuỷ</w:t>
      </w:r>
      <w:bookmarkEnd w:id="8"/>
      <w:r w:rsidRPr="00C60552">
        <w:rPr>
          <w:rFonts w:eastAsia="Times New Roman" w:cs="Times New Roman"/>
          <w:color w:val="auto"/>
          <w:szCs w:val="26"/>
          <w:lang w:val="en-US"/>
        </w:rPr>
        <w:t xml:space="preserve"> năng và cấp nước) quy mô lớn. </w:t>
      </w:r>
      <w:bookmarkStart w:id="9" w:name="_Toc165798025"/>
    </w:p>
    <w:p w:rsidR="002F5D85" w:rsidRPr="00C60552" w:rsidRDefault="002F5D85" w:rsidP="002F5D85">
      <w:pPr>
        <w:rPr>
          <w:rFonts w:eastAsia="Times New Roman" w:cs="Times New Roman"/>
          <w:color w:val="auto"/>
          <w:szCs w:val="26"/>
          <w:lang w:val="en-US"/>
        </w:rPr>
      </w:pPr>
      <w:r w:rsidRPr="00C60552">
        <w:rPr>
          <w:rFonts w:eastAsia="Times New Roman" w:cs="Times New Roman"/>
          <w:color w:val="auto"/>
          <w:szCs w:val="26"/>
          <w:lang w:val="en-US"/>
        </w:rPr>
        <w:t>Địa hình vùng trung du</w:t>
      </w:r>
      <w:bookmarkEnd w:id="9"/>
      <w:r w:rsidRPr="00C60552">
        <w:rPr>
          <w:rFonts w:eastAsia="Times New Roman" w:cs="Times New Roman"/>
          <w:color w:val="auto"/>
          <w:szCs w:val="26"/>
          <w:lang w:val="en-US"/>
        </w:rPr>
        <w:t xml:space="preserve"> phân bố chủ yếu ở trung và hạ lưu sông Bé, hạ lưu sông La Ngà và trung lưu sông Sài Gòn, có diện tích chiếm trên 30% có đặc trưng là gò đồi lượn sóng xen kẽ các đồng bằng nhỏ hẹp ven sông, thích hợp với nhiều loại cây trồng ngắn và dài ngày. </w:t>
      </w:r>
      <w:bookmarkStart w:id="10" w:name="_Toc165798026"/>
    </w:p>
    <w:p w:rsidR="002F5D85" w:rsidRDefault="002F5D85" w:rsidP="002F5D85">
      <w:pPr>
        <w:rPr>
          <w:rFonts w:eastAsia="Times New Roman" w:cs="Times New Roman"/>
          <w:color w:val="auto"/>
          <w:szCs w:val="26"/>
          <w:lang w:val="en-US"/>
        </w:rPr>
      </w:pPr>
      <w:r w:rsidRPr="00C60552">
        <w:rPr>
          <w:rFonts w:eastAsia="Times New Roman" w:cs="Times New Roman"/>
          <w:color w:val="auto"/>
          <w:szCs w:val="26"/>
          <w:lang w:val="en-US"/>
        </w:rPr>
        <w:t>Địa hình vùng đồng bằng</w:t>
      </w:r>
      <w:bookmarkEnd w:id="10"/>
      <w:r w:rsidRPr="00C60552">
        <w:rPr>
          <w:rFonts w:eastAsia="Times New Roman" w:cs="Times New Roman"/>
          <w:color w:val="auto"/>
          <w:szCs w:val="26"/>
          <w:lang w:val="en-US"/>
        </w:rPr>
        <w:t xml:space="preserve"> nằm ở hạ lưu tiếp giáp với đồng bằng sông Cửu Long và biển Đông, có diện tích chiếm gần 20% tổng diện tích toàn lưu vực, cao độ địa hình từ vài chục mét xuống đến dưới 1 m có đặc trưng khá bằng phẳng, cây trồng chủ yếu là cây ngắn ngày. </w:t>
      </w:r>
      <w:bookmarkStart w:id="11" w:name="_Toc165798027"/>
      <w:r w:rsidRPr="00C60552">
        <w:rPr>
          <w:rFonts w:eastAsia="Times New Roman" w:cs="Times New Roman"/>
          <w:color w:val="auto"/>
          <w:szCs w:val="26"/>
          <w:lang w:val="en-US"/>
        </w:rPr>
        <w:t xml:space="preserve"> </w:t>
      </w:r>
    </w:p>
    <w:p w:rsidR="002F5D85" w:rsidRPr="006765ED" w:rsidRDefault="002F5D85" w:rsidP="002F5D85">
      <w:pPr>
        <w:widowControl w:val="0"/>
        <w:rPr>
          <w:rFonts w:eastAsia="Times New Roman" w:cs="Times New Roman"/>
          <w:color w:val="auto"/>
          <w:szCs w:val="26"/>
          <w:lang w:val="sv-SE"/>
        </w:rPr>
      </w:pPr>
      <w:r w:rsidRPr="006765ED">
        <w:rPr>
          <w:rFonts w:eastAsia="Times New Roman" w:cs="Times New Roman"/>
          <w:color w:val="auto"/>
          <w:szCs w:val="26"/>
          <w:lang w:val="sv-SE"/>
        </w:rPr>
        <w:t>Ngoài ra, trên lưu vực còn một số khu trũng cục bộ dạng lòng chảo, phân bố rải rác dọc theo các sông và kênh rạch ở vùng núi, trung du và đồng bằng của lưu vực mà điển hình là các đồng bằng Đơn Dương, Cát Tiên, Đa Tẻ (Lâm Đồng), Tân Phú, La Ngà (Đồng Nai-Bình Thuận), hạ l</w:t>
      </w:r>
      <w:r w:rsidRPr="006765ED">
        <w:rPr>
          <w:rFonts w:eastAsia="Times New Roman" w:cs="Times New Roman" w:hint="eastAsia"/>
          <w:color w:val="auto"/>
          <w:szCs w:val="26"/>
          <w:lang w:val="sv-SE"/>
        </w:rPr>
        <w:t>ư</w:t>
      </w:r>
      <w:r w:rsidRPr="006765ED">
        <w:rPr>
          <w:rFonts w:eastAsia="Times New Roman" w:cs="Times New Roman"/>
          <w:color w:val="auto"/>
          <w:szCs w:val="26"/>
          <w:lang w:val="sv-SE"/>
        </w:rPr>
        <w:t>u vùng kẹp giữa sông Sài Gòn và Vàm Cỏ Đông... Nhìn chung, các khu trũng cục bộ chủ yếu đ</w:t>
      </w:r>
      <w:r w:rsidRPr="006765ED">
        <w:rPr>
          <w:rFonts w:eastAsia="Times New Roman" w:cs="Times New Roman" w:hint="eastAsia"/>
          <w:color w:val="auto"/>
          <w:szCs w:val="26"/>
          <w:lang w:val="sv-SE"/>
        </w:rPr>
        <w:t>ư</w:t>
      </w:r>
      <w:r w:rsidRPr="006765ED">
        <w:rPr>
          <w:rFonts w:eastAsia="Times New Roman" w:cs="Times New Roman"/>
          <w:color w:val="auto"/>
          <w:szCs w:val="26"/>
          <w:lang w:val="sv-SE"/>
        </w:rPr>
        <w:t>ợc trồng cây lương thực và công nghiệp ngắn ngày và thường bị ngập lụt kéo dài trong mùa mưa lũ.</w:t>
      </w:r>
    </w:p>
    <w:p w:rsidR="002F5D85" w:rsidRPr="00C60552" w:rsidRDefault="002F5D85" w:rsidP="002F5D85">
      <w:pPr>
        <w:rPr>
          <w:rFonts w:eastAsia="Times New Roman" w:cs="Times New Roman"/>
          <w:color w:val="auto"/>
          <w:szCs w:val="26"/>
          <w:lang w:val="en-US"/>
        </w:rPr>
      </w:pPr>
      <w:r w:rsidRPr="00C60552">
        <w:rPr>
          <w:rFonts w:eastAsia="Times New Roman" w:cs="Times New Roman"/>
          <w:color w:val="auto"/>
          <w:szCs w:val="26"/>
          <w:lang w:val="en-US"/>
        </w:rPr>
        <w:t>Vùng phụ cận ven biển</w:t>
      </w:r>
      <w:bookmarkEnd w:id="11"/>
      <w:r w:rsidRPr="00C60552">
        <w:rPr>
          <w:rFonts w:eastAsia="Times New Roman" w:cs="Times New Roman"/>
          <w:color w:val="auto"/>
          <w:szCs w:val="26"/>
          <w:lang w:val="en-US"/>
        </w:rPr>
        <w:t xml:space="preserve"> là một dãy đất hẹp chạy dọc theo bờ biển phía Đông dãy Trường Sơn, với các dãy núi nhô ra tận biển Đông tạo nên sự cắt xẻ riêng biệt tạo nên những đồng bằng nhỏ hẹp có các con sông ngắn và dốc, các dãy núi và mỏm núi cao mà hầu hết là đá và đá phong hoá ăn lan ra tận biển.</w:t>
      </w:r>
    </w:p>
    <w:p w:rsidR="002F5D85" w:rsidRPr="00C60552" w:rsidRDefault="002F5D85" w:rsidP="002F5D85">
      <w:pPr>
        <w:rPr>
          <w:rFonts w:eastAsia="Times New Roman" w:cs="Times New Roman"/>
          <w:color w:val="auto"/>
          <w:szCs w:val="26"/>
          <w:lang w:val="en-US"/>
        </w:rPr>
      </w:pPr>
      <w:r w:rsidRPr="00C60552">
        <w:rPr>
          <w:rFonts w:eastAsia="Times New Roman" w:cs="Times New Roman"/>
          <w:color w:val="auto"/>
          <w:szCs w:val="26"/>
          <w:lang w:val="en-US"/>
        </w:rPr>
        <w:t>Nhìn chung, lưu vực sông Đồng Nai có địa hình tương đối bằng phẳng (từ 0-3</w:t>
      </w:r>
      <w:r w:rsidRPr="00C60552">
        <w:rPr>
          <w:rFonts w:eastAsia="Times New Roman" w:cs="Times New Roman"/>
          <w:color w:val="auto"/>
          <w:szCs w:val="26"/>
          <w:vertAlign w:val="superscript"/>
          <w:lang w:val="en-US"/>
        </w:rPr>
        <w:t>0</w:t>
      </w:r>
      <w:r w:rsidRPr="00C60552">
        <w:rPr>
          <w:rFonts w:eastAsia="Times New Roman" w:cs="Times New Roman"/>
          <w:color w:val="auto"/>
          <w:szCs w:val="26"/>
          <w:lang w:val="en-US"/>
        </w:rPr>
        <w:t>) chiếm 58% diện tích tự nhiên, gần 20% diện tích có độ dốc từ 3-8</w:t>
      </w:r>
      <w:r w:rsidRPr="00C60552">
        <w:rPr>
          <w:rFonts w:eastAsia="Times New Roman" w:cs="Times New Roman"/>
          <w:color w:val="auto"/>
          <w:szCs w:val="26"/>
          <w:vertAlign w:val="superscript"/>
          <w:lang w:val="en-US"/>
        </w:rPr>
        <w:t>0</w:t>
      </w:r>
      <w:r w:rsidRPr="00C60552">
        <w:rPr>
          <w:rFonts w:eastAsia="Times New Roman" w:cs="Times New Roman"/>
          <w:color w:val="auto"/>
          <w:szCs w:val="26"/>
          <w:lang w:val="en-US"/>
        </w:rPr>
        <w:t>. Diện tích có độ dốc lớn hơn từ 8</w:t>
      </w:r>
      <w:r w:rsidRPr="00C60552">
        <w:rPr>
          <w:rFonts w:eastAsia="Times New Roman" w:cs="Times New Roman"/>
          <w:color w:val="auto"/>
          <w:szCs w:val="26"/>
          <w:vertAlign w:val="superscript"/>
          <w:lang w:val="en-US"/>
        </w:rPr>
        <w:t>0</w:t>
      </w:r>
      <w:r w:rsidRPr="00C60552">
        <w:rPr>
          <w:rFonts w:eastAsia="Times New Roman" w:cs="Times New Roman"/>
          <w:color w:val="auto"/>
          <w:szCs w:val="26"/>
          <w:lang w:val="en-US"/>
        </w:rPr>
        <w:t xml:space="preserve"> chiếm hơn 22% trong đó lớn hơn 15</w:t>
      </w:r>
      <w:r w:rsidRPr="00C60552">
        <w:rPr>
          <w:rFonts w:eastAsia="Times New Roman" w:cs="Times New Roman"/>
          <w:color w:val="auto"/>
          <w:szCs w:val="26"/>
          <w:vertAlign w:val="superscript"/>
          <w:lang w:val="en-US"/>
        </w:rPr>
        <w:t>0</w:t>
      </w:r>
      <w:r w:rsidRPr="00C60552">
        <w:rPr>
          <w:rFonts w:eastAsia="Times New Roman" w:cs="Times New Roman"/>
          <w:color w:val="auto"/>
          <w:szCs w:val="26"/>
          <w:lang w:val="en-US"/>
        </w:rPr>
        <w:t xml:space="preserve"> chỉ chiếm khoảng 10%. </w:t>
      </w:r>
    </w:p>
    <w:p w:rsidR="002F5D85" w:rsidRPr="00C60552" w:rsidRDefault="002F5D85" w:rsidP="002F5D85">
      <w:pPr>
        <w:pStyle w:val="HINH"/>
        <w:rPr>
          <w:rFonts w:eastAsia="SimSun"/>
          <w:b/>
          <w:color w:val="auto"/>
          <w:sz w:val="26"/>
          <w:szCs w:val="26"/>
          <w:lang w:eastAsia="zh-CN"/>
        </w:rPr>
      </w:pPr>
      <w:bookmarkStart w:id="12" w:name="_Toc189235031"/>
      <w:bookmarkStart w:id="13" w:name="_Toc205971201"/>
      <w:bookmarkStart w:id="14" w:name="_Toc347384278"/>
      <w:r>
        <w:t xml:space="preserve">Hình 1.  </w:t>
      </w:r>
      <w:r>
        <w:fldChar w:fldCharType="begin"/>
      </w:r>
      <w:r>
        <w:instrText xml:space="preserve"> SEQ Hình_1._ \* ARABIC </w:instrText>
      </w:r>
      <w:r>
        <w:fldChar w:fldCharType="separate"/>
      </w:r>
      <w:r>
        <w:rPr>
          <w:noProof/>
        </w:rPr>
        <w:t>39</w:t>
      </w:r>
      <w:r>
        <w:fldChar w:fldCharType="end"/>
      </w:r>
      <w:r>
        <w:t xml:space="preserve">: </w:t>
      </w:r>
      <w:r w:rsidRPr="00C60552">
        <w:rPr>
          <w:rFonts w:eastAsia="SimSun"/>
          <w:b/>
          <w:color w:val="auto"/>
          <w:sz w:val="26"/>
          <w:szCs w:val="26"/>
          <w:lang w:eastAsia="zh-CN"/>
        </w:rPr>
        <w:t xml:space="preserve"> Tổng hợp độ dốc địa hình</w:t>
      </w:r>
      <w:bookmarkEnd w:id="12"/>
      <w:bookmarkEnd w:id="13"/>
      <w:bookmarkEnd w:id="14"/>
    </w:p>
    <w:tbl>
      <w:tblPr>
        <w:tblW w:w="6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60"/>
        <w:gridCol w:w="1900"/>
        <w:gridCol w:w="1900"/>
        <w:gridCol w:w="1280"/>
      </w:tblGrid>
      <w:tr w:rsidR="002F5D85" w:rsidRPr="00B80208" w:rsidTr="00133EFC">
        <w:trPr>
          <w:trHeight w:val="318"/>
          <w:tblHeader/>
          <w:jc w:val="center"/>
        </w:trPr>
        <w:tc>
          <w:tcPr>
            <w:tcW w:w="96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b/>
                <w:color w:val="auto"/>
                <w:sz w:val="24"/>
                <w:szCs w:val="26"/>
                <w:lang w:val="en-US"/>
              </w:rPr>
            </w:pPr>
            <w:r w:rsidRPr="00B80208">
              <w:rPr>
                <w:rFonts w:eastAsia="Calibri" w:cs="Times New Roman"/>
                <w:b/>
                <w:color w:val="auto"/>
                <w:sz w:val="24"/>
                <w:szCs w:val="26"/>
                <w:lang w:val="en-US"/>
              </w:rPr>
              <w:t>TT</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b/>
                <w:color w:val="auto"/>
                <w:sz w:val="24"/>
                <w:szCs w:val="26"/>
                <w:lang w:val="en-US"/>
              </w:rPr>
            </w:pPr>
            <w:r w:rsidRPr="00B80208">
              <w:rPr>
                <w:rFonts w:eastAsia="Calibri" w:cs="Times New Roman"/>
                <w:b/>
                <w:color w:val="auto"/>
                <w:sz w:val="24"/>
                <w:szCs w:val="26"/>
                <w:lang w:val="en-US"/>
              </w:rPr>
              <w:t>Độ dốc (độ)</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b/>
                <w:color w:val="auto"/>
                <w:sz w:val="24"/>
                <w:szCs w:val="26"/>
                <w:lang w:val="en-US"/>
              </w:rPr>
            </w:pPr>
            <w:r w:rsidRPr="00B80208">
              <w:rPr>
                <w:rFonts w:eastAsia="Calibri" w:cs="Times New Roman"/>
                <w:b/>
                <w:color w:val="auto"/>
                <w:sz w:val="24"/>
                <w:szCs w:val="26"/>
                <w:lang w:val="en-US"/>
              </w:rPr>
              <w:t>Diện tích (km</w:t>
            </w:r>
            <w:r w:rsidRPr="00B80208">
              <w:rPr>
                <w:rFonts w:eastAsia="Calibri" w:cs="Times New Roman"/>
                <w:b/>
                <w:color w:val="auto"/>
                <w:sz w:val="24"/>
                <w:szCs w:val="26"/>
                <w:vertAlign w:val="superscript"/>
                <w:lang w:val="en-US"/>
              </w:rPr>
              <w:t>2</w:t>
            </w:r>
            <w:r w:rsidRPr="00B80208">
              <w:rPr>
                <w:rFonts w:eastAsia="Calibri" w:cs="Times New Roman"/>
                <w:b/>
                <w:color w:val="auto"/>
                <w:sz w:val="24"/>
                <w:szCs w:val="26"/>
                <w:lang w:val="en-US"/>
              </w:rPr>
              <w:t>)</w:t>
            </w:r>
          </w:p>
        </w:tc>
        <w:tc>
          <w:tcPr>
            <w:tcW w:w="128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b/>
                <w:color w:val="auto"/>
                <w:sz w:val="24"/>
                <w:szCs w:val="26"/>
                <w:lang w:val="en-US"/>
              </w:rPr>
            </w:pPr>
            <w:r w:rsidRPr="00B80208">
              <w:rPr>
                <w:rFonts w:eastAsia="Calibri" w:cs="Times New Roman"/>
                <w:b/>
                <w:color w:val="auto"/>
                <w:sz w:val="24"/>
                <w:szCs w:val="26"/>
                <w:lang w:val="en-US"/>
              </w:rPr>
              <w:t>Tỷ lệ (%)</w:t>
            </w:r>
          </w:p>
        </w:tc>
      </w:tr>
      <w:tr w:rsidR="002F5D85" w:rsidRPr="00B80208" w:rsidTr="00133EFC">
        <w:trPr>
          <w:trHeight w:val="345"/>
          <w:jc w:val="center"/>
        </w:trPr>
        <w:tc>
          <w:tcPr>
            <w:tcW w:w="96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1</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0-3</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33.180</w:t>
            </w:r>
          </w:p>
        </w:tc>
        <w:tc>
          <w:tcPr>
            <w:tcW w:w="128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58,01</w:t>
            </w:r>
          </w:p>
        </w:tc>
      </w:tr>
      <w:tr w:rsidR="002F5D85" w:rsidRPr="00B80208" w:rsidTr="00133EFC">
        <w:trPr>
          <w:trHeight w:val="345"/>
          <w:jc w:val="center"/>
        </w:trPr>
        <w:tc>
          <w:tcPr>
            <w:tcW w:w="96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2</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3-8</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11.360</w:t>
            </w:r>
          </w:p>
        </w:tc>
        <w:tc>
          <w:tcPr>
            <w:tcW w:w="128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19,86</w:t>
            </w:r>
          </w:p>
        </w:tc>
      </w:tr>
      <w:tr w:rsidR="002F5D85" w:rsidRPr="00B80208" w:rsidTr="00133EFC">
        <w:trPr>
          <w:trHeight w:val="345"/>
          <w:jc w:val="center"/>
        </w:trPr>
        <w:tc>
          <w:tcPr>
            <w:tcW w:w="96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lastRenderedPageBreak/>
              <w:t>3</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8-15</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7.178</w:t>
            </w:r>
          </w:p>
        </w:tc>
        <w:tc>
          <w:tcPr>
            <w:tcW w:w="128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12,55</w:t>
            </w:r>
          </w:p>
        </w:tc>
      </w:tr>
      <w:tr w:rsidR="002F5D85" w:rsidRPr="00B80208" w:rsidTr="00133EFC">
        <w:trPr>
          <w:trHeight w:val="345"/>
          <w:jc w:val="center"/>
        </w:trPr>
        <w:tc>
          <w:tcPr>
            <w:tcW w:w="96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4</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15-30</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5.247</w:t>
            </w:r>
          </w:p>
        </w:tc>
        <w:tc>
          <w:tcPr>
            <w:tcW w:w="128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9,18</w:t>
            </w:r>
          </w:p>
        </w:tc>
      </w:tr>
      <w:tr w:rsidR="002F5D85" w:rsidRPr="00B80208" w:rsidTr="00133EFC">
        <w:trPr>
          <w:trHeight w:val="345"/>
          <w:jc w:val="center"/>
        </w:trPr>
        <w:tc>
          <w:tcPr>
            <w:tcW w:w="96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5</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&gt;30</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230</w:t>
            </w:r>
          </w:p>
        </w:tc>
        <w:tc>
          <w:tcPr>
            <w:tcW w:w="128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color w:val="auto"/>
                <w:sz w:val="24"/>
                <w:szCs w:val="26"/>
                <w:lang w:val="en-US"/>
              </w:rPr>
            </w:pPr>
            <w:r w:rsidRPr="00B80208">
              <w:rPr>
                <w:rFonts w:eastAsia="Calibri" w:cs="Times New Roman"/>
                <w:color w:val="auto"/>
                <w:sz w:val="24"/>
                <w:szCs w:val="26"/>
                <w:lang w:val="en-US"/>
              </w:rPr>
              <w:t>0,40</w:t>
            </w:r>
          </w:p>
        </w:tc>
      </w:tr>
      <w:tr w:rsidR="002F5D85" w:rsidRPr="00B80208" w:rsidTr="00133EFC">
        <w:trPr>
          <w:trHeight w:val="345"/>
          <w:jc w:val="center"/>
        </w:trPr>
        <w:tc>
          <w:tcPr>
            <w:tcW w:w="96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center"/>
              <w:rPr>
                <w:rFonts w:eastAsia="Calibri" w:cs="Times New Roman"/>
                <w:color w:val="auto"/>
                <w:sz w:val="24"/>
                <w:szCs w:val="26"/>
                <w:lang w:val="en-US"/>
              </w:rPr>
            </w:pPr>
            <w:r w:rsidRPr="00B80208">
              <w:rPr>
                <w:rFonts w:eastAsia="Calibri" w:cs="Times New Roman"/>
                <w:color w:val="auto"/>
                <w:sz w:val="24"/>
                <w:szCs w:val="26"/>
                <w:lang w:val="en-US"/>
              </w:rPr>
              <w:t>Tổng</w:t>
            </w:r>
          </w:p>
        </w:tc>
        <w:tc>
          <w:tcPr>
            <w:tcW w:w="190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bCs/>
                <w:color w:val="auto"/>
                <w:sz w:val="24"/>
                <w:szCs w:val="26"/>
                <w:lang w:val="en-US"/>
              </w:rPr>
            </w:pPr>
            <w:r w:rsidRPr="00B80208">
              <w:rPr>
                <w:rFonts w:eastAsia="Calibri" w:cs="Times New Roman"/>
                <w:bCs/>
                <w:color w:val="auto"/>
                <w:sz w:val="24"/>
                <w:szCs w:val="26"/>
                <w:lang w:val="en-US"/>
              </w:rPr>
              <w:t>57.197</w:t>
            </w:r>
          </w:p>
        </w:tc>
        <w:tc>
          <w:tcPr>
            <w:tcW w:w="1280" w:type="dxa"/>
            <w:shd w:val="clear" w:color="auto" w:fill="auto"/>
            <w:tcMar>
              <w:top w:w="15" w:type="dxa"/>
              <w:left w:w="15" w:type="dxa"/>
              <w:bottom w:w="0" w:type="dxa"/>
              <w:right w:w="15" w:type="dxa"/>
            </w:tcMar>
            <w:vAlign w:val="center"/>
          </w:tcPr>
          <w:p w:rsidR="002F5D85" w:rsidRPr="00B80208" w:rsidRDefault="002F5D85" w:rsidP="00133EFC">
            <w:pPr>
              <w:ind w:firstLine="0"/>
              <w:jc w:val="right"/>
              <w:rPr>
                <w:rFonts w:eastAsia="Calibri" w:cs="Times New Roman"/>
                <w:bCs/>
                <w:color w:val="auto"/>
                <w:sz w:val="24"/>
                <w:szCs w:val="26"/>
                <w:lang w:val="en-US"/>
              </w:rPr>
            </w:pPr>
            <w:r w:rsidRPr="00B80208">
              <w:rPr>
                <w:rFonts w:eastAsia="Calibri" w:cs="Times New Roman"/>
                <w:bCs/>
                <w:color w:val="auto"/>
                <w:sz w:val="24"/>
                <w:szCs w:val="26"/>
                <w:lang w:val="en-US"/>
              </w:rPr>
              <w:t>100</w:t>
            </w:r>
          </w:p>
        </w:tc>
      </w:tr>
    </w:tbl>
    <w:p w:rsidR="002F5D85" w:rsidRDefault="002F5D85" w:rsidP="002F5D85">
      <w:pPr>
        <w:ind w:firstLine="0"/>
        <w:rPr>
          <w:rFonts w:eastAsia="Times New Roman" w:cs="Times New Roman"/>
          <w:bCs/>
          <w:color w:val="auto"/>
          <w:szCs w:val="20"/>
          <w:lang w:val="en-US"/>
        </w:rPr>
      </w:pPr>
    </w:p>
    <w:p w:rsidR="002F5D85" w:rsidRDefault="002F5D85" w:rsidP="002F5D85">
      <w:pPr>
        <w:ind w:firstLine="0"/>
        <w:jc w:val="center"/>
        <w:rPr>
          <w:rFonts w:eastAsia="Times New Roman" w:cs="Times New Roman"/>
          <w:bCs/>
          <w:color w:val="auto"/>
          <w:szCs w:val="20"/>
          <w:lang w:val="en-US"/>
        </w:rPr>
      </w:pPr>
      <w:r>
        <w:rPr>
          <w:noProof/>
          <w:lang w:val="en-US"/>
        </w:rPr>
        <w:drawing>
          <wp:inline distT="0" distB="0" distL="0" distR="0" wp14:anchorId="6C486147" wp14:editId="2FC8D169">
            <wp:extent cx="5909480" cy="4178129"/>
            <wp:effectExtent l="0" t="0" r="0" b="0"/>
            <wp:docPr id="93610" name="Picture 9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hin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16363" cy="4182995"/>
                    </a:xfrm>
                    <a:prstGeom prst="rect">
                      <a:avLst/>
                    </a:prstGeom>
                  </pic:spPr>
                </pic:pic>
              </a:graphicData>
            </a:graphic>
          </wp:inline>
        </w:drawing>
      </w:r>
    </w:p>
    <w:p w:rsidR="002F5D85" w:rsidRDefault="002F5D85" w:rsidP="002F5D85">
      <w:pPr>
        <w:pStyle w:val="HINH"/>
        <w:rPr>
          <w:color w:val="auto"/>
          <w:szCs w:val="20"/>
        </w:rPr>
      </w:pPr>
      <w:r>
        <w:t xml:space="preserve">Hình 1.  </w:t>
      </w:r>
      <w:r>
        <w:fldChar w:fldCharType="begin"/>
      </w:r>
      <w:r>
        <w:instrText xml:space="preserve"> SEQ Hình_1._ \* ARABIC </w:instrText>
      </w:r>
      <w:r>
        <w:fldChar w:fldCharType="separate"/>
      </w:r>
      <w:r>
        <w:rPr>
          <w:noProof/>
        </w:rPr>
        <w:t>40</w:t>
      </w:r>
      <w:r>
        <w:fldChar w:fldCharType="end"/>
      </w:r>
      <w:r>
        <w:t>: Bản đồ địa hình lưu vực sông Đồng Nai-Sài Gòn</w:t>
      </w:r>
    </w:p>
    <w:p w:rsidR="002B5C32" w:rsidRDefault="002F5D85"/>
    <w:sectPr w:rsidR="002B5C32" w:rsidSect="002F5D8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85"/>
    <w:rsid w:val="002F5D85"/>
    <w:rsid w:val="00C84357"/>
    <w:rsid w:val="00E3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91E3"/>
  <w15:chartTrackingRefBased/>
  <w15:docId w15:val="{419D3341-53D0-4472-B366-D5E86C32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D85"/>
    <w:pPr>
      <w:spacing w:after="0" w:line="240" w:lineRule="auto"/>
      <w:ind w:firstLine="720"/>
      <w:jc w:val="both"/>
    </w:pPr>
    <w:rPr>
      <w:rFonts w:ascii="Times New Roman" w:hAnsi="Times New Roman"/>
      <w:color w:val="000000"/>
      <w:sz w:val="28"/>
      <w:lang w:val="vi-VN"/>
    </w:rPr>
  </w:style>
  <w:style w:type="paragraph" w:styleId="Heading1">
    <w:name w:val="heading 1"/>
    <w:aliases w:val="TM1,Chuong 1,Heading 1 Char Char"/>
    <w:basedOn w:val="Normal"/>
    <w:next w:val="Normal"/>
    <w:link w:val="Heading1Char"/>
    <w:qFormat/>
    <w:rsid w:val="002F5D85"/>
    <w:pPr>
      <w:keepNext/>
      <w:widowControl w:val="0"/>
      <w:tabs>
        <w:tab w:val="num" w:pos="1134"/>
      </w:tabs>
      <w:spacing w:before="60"/>
      <w:ind w:left="1134" w:right="-244" w:hanging="283"/>
      <w:outlineLvl w:val="0"/>
    </w:pPr>
    <w:rPr>
      <w:rFonts w:eastAsia="Times New Roman" w:cs="Times New Roman"/>
      <w:b/>
      <w:szCs w:val="26"/>
      <w:lang w:val="pt-BR"/>
    </w:rPr>
  </w:style>
  <w:style w:type="paragraph" w:styleId="Heading2">
    <w:name w:val="heading 2"/>
    <w:aliases w:val="Heading1,Heading 2 Char Char,Heading 2 Char Char Char,Heading 2 Char1 Char,Heading 2 Char Char Char Char Char,MUC LON Char,MUC LON,Char1 Char1"/>
    <w:basedOn w:val="Normal"/>
    <w:next w:val="Normal"/>
    <w:link w:val="Heading2Char"/>
    <w:unhideWhenUsed/>
    <w:qFormat/>
    <w:rsid w:val="002F5D85"/>
    <w:pPr>
      <w:keepNext/>
      <w:keepLines/>
      <w:tabs>
        <w:tab w:val="num" w:pos="1440"/>
      </w:tabs>
      <w:spacing w:before="200"/>
      <w:ind w:left="1440" w:hanging="36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autoRedefine/>
    <w:rsid w:val="002F5D85"/>
    <w:pPr>
      <w:spacing w:before="80" w:after="80"/>
      <w:ind w:firstLine="0"/>
      <w:jc w:val="center"/>
    </w:pPr>
    <w:rPr>
      <w:rFonts w:eastAsia="Times New Roman" w:cs="Times New Roman"/>
      <w:bCs/>
      <w:i/>
      <w:sz w:val="24"/>
      <w:szCs w:val="24"/>
      <w:lang w:val="en-US"/>
    </w:rPr>
  </w:style>
  <w:style w:type="character" w:customStyle="1" w:styleId="Heading1Char">
    <w:name w:val="Heading 1 Char"/>
    <w:aliases w:val="TM1 Char,Chuong 1 Char,Heading 1 Char Char Char"/>
    <w:basedOn w:val="DefaultParagraphFont"/>
    <w:link w:val="Heading1"/>
    <w:rsid w:val="002F5D85"/>
    <w:rPr>
      <w:rFonts w:ascii="Times New Roman" w:eastAsia="Times New Roman" w:hAnsi="Times New Roman" w:cs="Times New Roman"/>
      <w:b/>
      <w:color w:val="000000"/>
      <w:sz w:val="28"/>
      <w:szCs w:val="26"/>
      <w:lang w:val="pt-BR"/>
    </w:rPr>
  </w:style>
  <w:style w:type="character" w:customStyle="1" w:styleId="Heading2Char">
    <w:name w:val="Heading 2 Char"/>
    <w:aliases w:val="Heading1 Char,Heading 2 Char Char Char1,Heading 2 Char Char Char Char,Heading 2 Char1 Char Char,Heading 2 Char Char Char Char Char Char,MUC LON Char Char,MUC LON Char1,Char1 Char1 Char"/>
    <w:basedOn w:val="DefaultParagraphFont"/>
    <w:link w:val="Heading2"/>
    <w:rsid w:val="002F5D85"/>
    <w:rPr>
      <w:rFonts w:asciiTheme="majorHAnsi" w:eastAsiaTheme="majorEastAsia" w:hAnsiTheme="majorHAnsi" w:cstheme="majorBidi"/>
      <w:b/>
      <w:bCs/>
      <w:color w:val="5B9BD5" w:themeColor="accent1"/>
      <w:sz w:val="26"/>
      <w:szCs w:val="26"/>
      <w:lang w:val="vi-VN"/>
    </w:rPr>
  </w:style>
  <w:style w:type="character" w:styleId="CommentReference">
    <w:name w:val="annotation reference"/>
    <w:basedOn w:val="DefaultParagraphFont"/>
    <w:uiPriority w:val="99"/>
    <w:unhideWhenUsed/>
    <w:rsid w:val="002F5D85"/>
    <w:rPr>
      <w:sz w:val="16"/>
      <w:szCs w:val="16"/>
    </w:rPr>
  </w:style>
  <w:style w:type="paragraph" w:styleId="CommentText">
    <w:name w:val="annotation text"/>
    <w:basedOn w:val="Normal"/>
    <w:link w:val="CommentTextChar"/>
    <w:unhideWhenUsed/>
    <w:rsid w:val="002F5D85"/>
    <w:rPr>
      <w:sz w:val="20"/>
      <w:szCs w:val="20"/>
    </w:rPr>
  </w:style>
  <w:style w:type="character" w:customStyle="1" w:styleId="CommentTextChar">
    <w:name w:val="Comment Text Char"/>
    <w:basedOn w:val="DefaultParagraphFont"/>
    <w:link w:val="CommentText"/>
    <w:rsid w:val="002F5D85"/>
    <w:rPr>
      <w:rFonts w:ascii="Times New Roman" w:hAnsi="Times New Roman"/>
      <w:color w:val="000000"/>
      <w:sz w:val="20"/>
      <w:szCs w:val="20"/>
      <w:lang w:val="vi-VN"/>
    </w:rPr>
  </w:style>
  <w:style w:type="paragraph" w:styleId="BalloonText">
    <w:name w:val="Balloon Text"/>
    <w:basedOn w:val="Normal"/>
    <w:link w:val="BalloonTextChar"/>
    <w:uiPriority w:val="99"/>
    <w:semiHidden/>
    <w:unhideWhenUsed/>
    <w:rsid w:val="002F5D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85"/>
    <w:rPr>
      <w:rFonts w:ascii="Segoe UI" w:hAnsi="Segoe UI" w:cs="Segoe UI"/>
      <w:color w:val="000000"/>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c:creator>
  <cp:keywords/>
  <dc:description/>
  <cp:lastModifiedBy>DANG</cp:lastModifiedBy>
  <cp:revision>1</cp:revision>
  <dcterms:created xsi:type="dcterms:W3CDTF">2020-07-17T16:36:00Z</dcterms:created>
  <dcterms:modified xsi:type="dcterms:W3CDTF">2020-07-17T16:39:00Z</dcterms:modified>
</cp:coreProperties>
</file>