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3451"/>
        <w:gridCol w:w="3948"/>
      </w:tblGrid>
      <w:tr w:rsidR="00CD14C1" w:rsidRPr="005A6A3C" w14:paraId="47247881" w14:textId="77777777" w:rsidTr="007161CB">
        <w:trPr>
          <w:trHeight w:val="215"/>
        </w:trPr>
        <w:tc>
          <w:tcPr>
            <w:tcW w:w="939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E7C2EE1" w14:textId="77777777" w:rsidR="00CD14C1" w:rsidRPr="005A6A3C" w:rsidRDefault="00CD14C1" w:rsidP="007161CB">
            <w:pPr>
              <w:spacing w:after="0" w:line="240" w:lineRule="auto"/>
              <w:contextualSpacing/>
              <w:jc w:val="center"/>
              <w:rPr>
                <w:rFonts w:ascii="LM Roman 10" w:hAnsi="LM Roman 10" w:cs="Times New Roman"/>
                <w:b/>
                <w:bCs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b/>
                <w:bCs/>
                <w:kern w:val="2"/>
                <w:sz w:val="20"/>
                <w:szCs w:val="20"/>
                <w14:ligatures w14:val="standard"/>
              </w:rPr>
              <w:t>Factors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D1F3418" w14:textId="77777777" w:rsidR="00CD14C1" w:rsidRPr="005A6A3C" w:rsidRDefault="00CD14C1" w:rsidP="007161CB">
            <w:pPr>
              <w:spacing w:after="0" w:line="240" w:lineRule="auto"/>
              <w:contextualSpacing/>
              <w:jc w:val="center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b/>
                <w:bCs/>
                <w:kern w:val="2"/>
                <w:sz w:val="20"/>
                <w:szCs w:val="20"/>
                <w14:ligatures w14:val="standard"/>
              </w:rPr>
              <w:t>Temperate estuaries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11E6C10" w14:textId="77777777" w:rsidR="00CD14C1" w:rsidRPr="005A6A3C" w:rsidRDefault="00CD14C1" w:rsidP="007161CB">
            <w:pPr>
              <w:spacing w:after="0" w:line="240" w:lineRule="auto"/>
              <w:contextualSpacing/>
              <w:jc w:val="center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b/>
                <w:bCs/>
                <w:kern w:val="2"/>
                <w:sz w:val="20"/>
                <w:szCs w:val="20"/>
                <w14:ligatures w14:val="standard"/>
              </w:rPr>
              <w:t>Tropical estuaries</w:t>
            </w:r>
          </w:p>
        </w:tc>
      </w:tr>
      <w:tr w:rsidR="00CD14C1" w:rsidRPr="005A6A3C" w14:paraId="2E6F0D26" w14:textId="77777777" w:rsidTr="007161CB">
        <w:trPr>
          <w:trHeight w:val="80"/>
        </w:trPr>
        <w:tc>
          <w:tcPr>
            <w:tcW w:w="939" w:type="pct"/>
            <w:tcBorders>
              <w:top w:val="single" w:sz="4" w:space="0" w:color="auto"/>
            </w:tcBorders>
            <w:vAlign w:val="center"/>
            <w:hideMark/>
          </w:tcPr>
          <w:p w14:paraId="5D2FCCC5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Climate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(a)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DCF8E97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Season: 4 seasons</w:t>
            </w:r>
          </w:p>
          <w:p w14:paraId="6E9DF558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Light: Variable</w:t>
            </w:r>
          </w:p>
          <w:p w14:paraId="3CDA1D8A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Temperature: Variable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6AC189E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Two seasons: dry and rainy season</w:t>
            </w:r>
          </w:p>
          <w:p w14:paraId="633924F0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Light: Higher and relative constant</w:t>
            </w:r>
          </w:p>
          <w:p w14:paraId="224AE63A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Temperature: Higher and relative constant</w:t>
            </w:r>
          </w:p>
        </w:tc>
      </w:tr>
      <w:tr w:rsidR="00CD14C1" w:rsidRPr="005A6A3C" w14:paraId="548EB91B" w14:textId="77777777" w:rsidTr="007161CB">
        <w:trPr>
          <w:trHeight w:val="58"/>
        </w:trPr>
        <w:tc>
          <w:tcPr>
            <w:tcW w:w="939" w:type="pct"/>
            <w:vAlign w:val="center"/>
          </w:tcPr>
          <w:p w14:paraId="7558289E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Hydrology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(a)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B2FFB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Discharge: More stable </w:t>
            </w:r>
          </w:p>
          <w:p w14:paraId="780C9050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Flushing capacity: More stable</w:t>
            </w:r>
          </w:p>
          <w:p w14:paraId="15094EFE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Less mangrove system in temperate estuaries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28188D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Discharge: Large seasonal variation </w:t>
            </w:r>
          </w:p>
          <w:p w14:paraId="1A42AE7E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Flushing capacity: High variation</w:t>
            </w:r>
          </w:p>
          <w:p w14:paraId="0B2CE660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The strong impact of mangroves in downstream </w:t>
            </w:r>
          </w:p>
        </w:tc>
      </w:tr>
      <w:tr w:rsidR="00CD14C1" w:rsidRPr="005A6A3C" w14:paraId="6131D263" w14:textId="77777777" w:rsidTr="007161CB">
        <w:trPr>
          <w:trHeight w:val="242"/>
        </w:trPr>
        <w:tc>
          <w:tcPr>
            <w:tcW w:w="939" w:type="pct"/>
            <w:vAlign w:val="center"/>
          </w:tcPr>
          <w:p w14:paraId="02601E8C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Nutrient loads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(a)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09D41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Stable or decrease in recent years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D8987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Increase by urbanization</w:t>
            </w:r>
          </w:p>
        </w:tc>
      </w:tr>
      <w:tr w:rsidR="00CD14C1" w:rsidRPr="005A6A3C" w14:paraId="6107DFDE" w14:textId="77777777" w:rsidTr="007161CB">
        <w:trPr>
          <w:trHeight w:val="242"/>
        </w:trPr>
        <w:tc>
          <w:tcPr>
            <w:tcW w:w="939" w:type="pct"/>
            <w:vAlign w:val="center"/>
          </w:tcPr>
          <w:p w14:paraId="4F6111B5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Variables in water column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 xml:space="preserve"> (a)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11C40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Silica: Can be limiting for production</w:t>
            </w:r>
          </w:p>
          <w:p w14:paraId="11D5B8BE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Turbidity: more stable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1CFD4E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Silica: Less likely to limit primary production</w:t>
            </w:r>
          </w:p>
          <w:p w14:paraId="262E8097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Turbidity: high seasonal variation</w:t>
            </w:r>
          </w:p>
        </w:tc>
      </w:tr>
      <w:tr w:rsidR="00CD14C1" w:rsidRPr="005A6A3C" w14:paraId="18C06C56" w14:textId="77777777" w:rsidTr="007161CB">
        <w:trPr>
          <w:trHeight w:val="242"/>
        </w:trPr>
        <w:tc>
          <w:tcPr>
            <w:tcW w:w="939" w:type="pct"/>
            <w:vAlign w:val="center"/>
          </w:tcPr>
          <w:p w14:paraId="06243EA3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Variables in bottom sediments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 xml:space="preserve"> (a)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83B7C6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High organic carbon content</w:t>
            </w:r>
          </w:p>
          <w:p w14:paraId="532E087C" w14:textId="77777777" w:rsidR="00CD14C1" w:rsidRPr="005A6A3C" w:rsidRDefault="00CD14C1" w:rsidP="007161CB">
            <w:pPr>
              <w:pStyle w:val="ListParagraph"/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869EB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Higher organic carbon and carbonate</w:t>
            </w:r>
          </w:p>
          <w:p w14:paraId="65D43349" w14:textId="4167BADC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High concentration of PO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bscript"/>
                <w14:ligatures w14:val="standard"/>
              </w:rPr>
              <w:t>4</w:t>
            </w:r>
            <w:r w:rsidR="00DE6B43"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3-</w:t>
            </w:r>
          </w:p>
        </w:tc>
      </w:tr>
      <w:tr w:rsidR="00CD14C1" w:rsidRPr="005A6A3C" w14:paraId="01C19BA6" w14:textId="77777777" w:rsidTr="007161CB">
        <w:trPr>
          <w:trHeight w:val="242"/>
        </w:trPr>
        <w:tc>
          <w:tcPr>
            <w:tcW w:w="939" w:type="pct"/>
            <w:vAlign w:val="center"/>
          </w:tcPr>
          <w:p w14:paraId="2908D98A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Seawater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(a)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E42BF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Variable concentrations because of seasonal biological activities 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37B65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Seawater concentrations are more stable due to constant input of insolation (light, temperature) than temperate </w:t>
            </w:r>
          </w:p>
        </w:tc>
      </w:tr>
      <w:tr w:rsidR="00CD14C1" w:rsidRPr="005A6A3C" w14:paraId="76B52ECC" w14:textId="77777777" w:rsidTr="007161CB">
        <w:trPr>
          <w:trHeight w:val="242"/>
        </w:trPr>
        <w:tc>
          <w:tcPr>
            <w:tcW w:w="939" w:type="pct"/>
            <w:vAlign w:val="center"/>
          </w:tcPr>
          <w:p w14:paraId="7B7CED7E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Phytoplankton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(a)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FF1D7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Easier shift to non-silicious phytoplankton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D8146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The dominant phytoplankton group is diatom</w:t>
            </w:r>
          </w:p>
        </w:tc>
      </w:tr>
      <w:tr w:rsidR="00CD14C1" w:rsidRPr="005A6A3C" w14:paraId="1266B3F9" w14:textId="77777777" w:rsidTr="007161CB">
        <w:trPr>
          <w:trHeight w:val="58"/>
        </w:trPr>
        <w:tc>
          <w:tcPr>
            <w:tcW w:w="939" w:type="pct"/>
            <w:vAlign w:val="center"/>
          </w:tcPr>
          <w:p w14:paraId="1FD14D2F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Biogeochemical process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ACE54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Reaction rates are lower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(a, b)</w:t>
            </w:r>
          </w:p>
          <w:p w14:paraId="571A4694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There is a limitation of production in the cold period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(b)</w:t>
            </w:r>
          </w:p>
          <w:p w14:paraId="26128258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Nitrification is no longer a major factor because of the decrease of NH4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(d)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1F36FF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Reaction rates: Higher biological uptake and excretion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(a)</w:t>
            </w:r>
          </w:p>
          <w:p w14:paraId="5B8DA3FC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No temperature limitation for production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(b)</w:t>
            </w:r>
          </w:p>
          <w:p w14:paraId="63D8E219" w14:textId="332CC6E4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Dominated by OM oxidation, nitrification, deposition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(f,</w:t>
            </w:r>
            <w:r w:rsidR="00E40C59"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 xml:space="preserve">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g,</w:t>
            </w:r>
            <w:r w:rsidR="00E40C59"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 xml:space="preserve">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h)</w:t>
            </w:r>
          </w:p>
        </w:tc>
      </w:tr>
      <w:tr w:rsidR="00CD14C1" w:rsidRPr="005A6A3C" w14:paraId="28F8C375" w14:textId="77777777" w:rsidTr="007161CB">
        <w:trPr>
          <w:trHeight w:val="58"/>
        </w:trPr>
        <w:tc>
          <w:tcPr>
            <w:tcW w:w="939" w:type="pct"/>
            <w:vAlign w:val="center"/>
          </w:tcPr>
          <w:p w14:paraId="09131799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Nutrient export to coastal zone, ocean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D0EA4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Low nutrient retention rate. 75% of nutrients can be exported to the ocean. Less seasonal variation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(c)</w:t>
            </w:r>
          </w:p>
          <w:p w14:paraId="24A77D0D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Less than 10% of nutrients were retained/buried in sediment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(b)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751C89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Similarly, retention of nutrients is low in the rainy season but much higher in the dry season, thus less nutrient export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(f)</w:t>
            </w:r>
          </w:p>
          <w:p w14:paraId="4FD4922E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Higher phosphate retention (higher sorption), but small nitrogen burial (around 2.5%) in sediment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(b)</w:t>
            </w:r>
          </w:p>
        </w:tc>
      </w:tr>
      <w:tr w:rsidR="00CD14C1" w:rsidRPr="005A6A3C" w14:paraId="6797F4F1" w14:textId="77777777" w:rsidTr="007161CB">
        <w:trPr>
          <w:trHeight w:val="58"/>
        </w:trPr>
        <w:tc>
          <w:tcPr>
            <w:tcW w:w="939" w:type="pct"/>
            <w:vAlign w:val="center"/>
          </w:tcPr>
          <w:p w14:paraId="6A6F23B0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Assimilation capacity 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8FC04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Net removal of N and Si, but a source of P because of P desorption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(c)</w:t>
            </w:r>
          </w:p>
          <w:p w14:paraId="07A90092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30–65% N can be removed by physical, biological processes in estuaries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(d)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878FB7" w14:textId="0A929535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Act as a sink for OC, NH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bscript"/>
                <w14:ligatures w14:val="standard"/>
              </w:rPr>
              <w:t>4</w:t>
            </w:r>
            <w:r w:rsidR="00DE6B43"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+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, PO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bscript"/>
                <w14:ligatures w14:val="standard"/>
              </w:rPr>
              <w:t>4</w:t>
            </w:r>
            <w:r w:rsidR="00DE6B43"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3-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 but a source for NO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bscript"/>
                <w14:ligatures w14:val="standard"/>
              </w:rPr>
              <w:t>3</w:t>
            </w:r>
            <w:r w:rsidR="00DE6B43"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-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(g)</w:t>
            </w:r>
          </w:p>
          <w:p w14:paraId="60A165E6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Higher N removal because of higher denitrification rate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(b)</w:t>
            </w:r>
          </w:p>
          <w:p w14:paraId="2ACF23AA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E.g., 50%, 37% and 11% C, N, P of external sources were removed by Pearl River in 1999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(g)</w:t>
            </w:r>
          </w:p>
        </w:tc>
      </w:tr>
      <w:tr w:rsidR="00CD14C1" w:rsidRPr="005A6A3C" w14:paraId="5BC562F8" w14:textId="77777777" w:rsidTr="007161CB">
        <w:trPr>
          <w:trHeight w:val="54"/>
        </w:trPr>
        <w:tc>
          <w:tcPr>
            <w:tcW w:w="939" w:type="pct"/>
            <w:vAlign w:val="center"/>
          </w:tcPr>
          <w:p w14:paraId="4B9CA6A1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Climate change </w:t>
            </w: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:vertAlign w:val="superscript"/>
                <w14:ligatures w14:val="standard"/>
              </w:rPr>
              <w:t>(b)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1499A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Four seasons may become dry and wet seasons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16DFD" w14:textId="77777777" w:rsidR="00CD14C1" w:rsidRPr="005A6A3C" w:rsidRDefault="00CD14C1" w:rsidP="0071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Greater contrasting seasonal behavior</w:t>
            </w:r>
          </w:p>
        </w:tc>
      </w:tr>
      <w:tr w:rsidR="00CD14C1" w:rsidRPr="005A6A3C" w14:paraId="1911E9E3" w14:textId="77777777" w:rsidTr="007161CB">
        <w:trPr>
          <w:trHeight w:val="584"/>
        </w:trPr>
        <w:tc>
          <w:tcPr>
            <w:tcW w:w="939" w:type="pct"/>
            <w:tcBorders>
              <w:bottom w:val="single" w:sz="4" w:space="0" w:color="auto"/>
            </w:tcBorders>
          </w:tcPr>
          <w:p w14:paraId="3E7298B0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a: Eyre et al., 1999</w:t>
            </w:r>
          </w:p>
          <w:p w14:paraId="4D58748C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b: </w:t>
            </w:r>
            <w:proofErr w:type="spellStart"/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Tappin</w:t>
            </w:r>
            <w:proofErr w:type="spellEnd"/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 2002</w:t>
            </w:r>
          </w:p>
          <w:p w14:paraId="557C0C2E" w14:textId="77777777" w:rsidR="00CD14C1" w:rsidRPr="005A6A3C" w:rsidRDefault="00CD14C1" w:rsidP="007161CB">
            <w:pPr>
              <w:spacing w:after="0" w:line="240" w:lineRule="auto"/>
              <w:contextualSpacing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</w:tcPr>
          <w:p w14:paraId="12EC1B14" w14:textId="77777777" w:rsidR="00CD14C1" w:rsidRPr="005A6A3C" w:rsidRDefault="00CD14C1" w:rsidP="007161CB">
            <w:pPr>
              <w:spacing w:after="0" w:line="240" w:lineRule="auto"/>
              <w:ind w:left="180" w:hanging="180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c: Romero et al., 2019</w:t>
            </w:r>
          </w:p>
          <w:p w14:paraId="06D783FE" w14:textId="77777777" w:rsidR="00CD14C1" w:rsidRPr="005A6A3C" w:rsidRDefault="00CD14C1" w:rsidP="007161CB">
            <w:pPr>
              <w:spacing w:after="0" w:line="240" w:lineRule="auto"/>
              <w:ind w:left="180" w:hanging="180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d: Nixon et al. 1996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</w:tcPr>
          <w:p w14:paraId="14EF63D2" w14:textId="77777777" w:rsidR="00CD14C1" w:rsidRPr="005A6A3C" w:rsidRDefault="00CD14C1" w:rsidP="007161CB">
            <w:pPr>
              <w:spacing w:after="0" w:line="240" w:lineRule="auto"/>
              <w:ind w:left="180" w:hanging="180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e: McKee et al., 1999</w:t>
            </w:r>
          </w:p>
          <w:p w14:paraId="3ED519C6" w14:textId="43768B1C" w:rsidR="00CD14C1" w:rsidRPr="005A6A3C" w:rsidRDefault="00CD14C1" w:rsidP="007161CB">
            <w:pPr>
              <w:spacing w:after="0" w:line="240" w:lineRule="auto"/>
              <w:ind w:left="180" w:hanging="180"/>
              <w:contextualSpacing/>
              <w:jc w:val="both"/>
              <w:rPr>
                <w:rFonts w:ascii="LM Roman 10" w:eastAsia="Times New Roman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 xml:space="preserve">f: Le et al., 2010, </w:t>
            </w:r>
            <w:r w:rsidRPr="005A6A3C">
              <w:rPr>
                <w:rFonts w:ascii="LM Roman 10" w:eastAsia="Times New Roman" w:hAnsi="LM Roman 10" w:cs="Times New Roman"/>
                <w:kern w:val="2"/>
                <w:sz w:val="20"/>
                <w:szCs w:val="20"/>
                <w14:ligatures w14:val="standard"/>
              </w:rPr>
              <w:t>Trinh et al., 2010</w:t>
            </w:r>
          </w:p>
          <w:p w14:paraId="104A9A66" w14:textId="77777777" w:rsidR="00CD14C1" w:rsidRPr="005A6A3C" w:rsidRDefault="00CD14C1" w:rsidP="007161CB">
            <w:pPr>
              <w:spacing w:after="0" w:line="240" w:lineRule="auto"/>
              <w:ind w:left="180" w:hanging="180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</w:pPr>
            <w:r w:rsidRPr="005A6A3C">
              <w:rPr>
                <w:rFonts w:ascii="LM Roman 10" w:hAnsi="LM Roman 10" w:cs="Times New Roman"/>
                <w:kern w:val="2"/>
                <w:sz w:val="20"/>
                <w:szCs w:val="20"/>
                <w14:ligatures w14:val="standard"/>
              </w:rPr>
              <w:t>g: Hu et al., 2009, h: Yu et al. 2019</w:t>
            </w:r>
          </w:p>
        </w:tc>
      </w:tr>
    </w:tbl>
    <w:p w14:paraId="73D11DE3" w14:textId="77777777" w:rsidR="003023E4" w:rsidRPr="005A6A3C" w:rsidRDefault="003023E4" w:rsidP="007161CB">
      <w:pPr>
        <w:rPr>
          <w:rFonts w:ascii="LM Roman 10" w:hAnsi="LM Roman 10"/>
          <w:sz w:val="20"/>
          <w:szCs w:val="20"/>
          <w14:ligatures w14:val="standard"/>
        </w:rPr>
      </w:pPr>
    </w:p>
    <w:sectPr w:rsidR="003023E4" w:rsidRPr="005A6A3C" w:rsidSect="007161C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4A20" w14:textId="77777777" w:rsidR="00B131A1" w:rsidRDefault="00B131A1" w:rsidP="00A3568E">
      <w:pPr>
        <w:spacing w:after="0" w:line="240" w:lineRule="auto"/>
      </w:pPr>
      <w:r>
        <w:separator/>
      </w:r>
    </w:p>
  </w:endnote>
  <w:endnote w:type="continuationSeparator" w:id="0">
    <w:p w14:paraId="19E36221" w14:textId="77777777" w:rsidR="00B131A1" w:rsidRDefault="00B131A1" w:rsidP="00A35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5351" w14:textId="77777777" w:rsidR="00B131A1" w:rsidRDefault="00B131A1" w:rsidP="00A3568E">
      <w:pPr>
        <w:spacing w:after="0" w:line="240" w:lineRule="auto"/>
      </w:pPr>
      <w:r>
        <w:separator/>
      </w:r>
    </w:p>
  </w:footnote>
  <w:footnote w:type="continuationSeparator" w:id="0">
    <w:p w14:paraId="2B8E8430" w14:textId="77777777" w:rsidR="00B131A1" w:rsidRDefault="00B131A1" w:rsidP="00A35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37AA3"/>
    <w:multiLevelType w:val="hybridMultilevel"/>
    <w:tmpl w:val="2670F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C1"/>
    <w:rsid w:val="003023E4"/>
    <w:rsid w:val="005A6A3C"/>
    <w:rsid w:val="007161CB"/>
    <w:rsid w:val="007F33F2"/>
    <w:rsid w:val="00A3568E"/>
    <w:rsid w:val="00B131A1"/>
    <w:rsid w:val="00CD14C1"/>
    <w:rsid w:val="00DE6B43"/>
    <w:rsid w:val="00E4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EC2D"/>
  <w15:chartTrackingRefBased/>
  <w15:docId w15:val="{C7CF17FD-85FC-449F-91B4-A0E3C061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C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D14C1"/>
    <w:pPr>
      <w:ind w:left="720"/>
      <w:contextualSpacing/>
    </w:pPr>
  </w:style>
  <w:style w:type="table" w:styleId="TableGrid">
    <w:name w:val="Table Grid"/>
    <w:basedOn w:val="TableNormal"/>
    <w:uiPriority w:val="39"/>
    <w:rsid w:val="00CD14C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5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68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35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68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7</cp:revision>
  <cp:lastPrinted>2021-11-17T14:58:00Z</cp:lastPrinted>
  <dcterms:created xsi:type="dcterms:W3CDTF">2021-10-22T07:28:00Z</dcterms:created>
  <dcterms:modified xsi:type="dcterms:W3CDTF">2021-11-17T15:02:00Z</dcterms:modified>
</cp:coreProperties>
</file>