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9"/>
        <w:gridCol w:w="3577"/>
        <w:gridCol w:w="4094"/>
      </w:tblGrid>
      <w:tr w:rsidR="00CD14C1" w:rsidRPr="00B46FAB" w14:paraId="47247881" w14:textId="77777777" w:rsidTr="00CD14C1">
        <w:trPr>
          <w:trHeight w:val="215"/>
        </w:trPr>
        <w:tc>
          <w:tcPr>
            <w:tcW w:w="902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E7C2EE1" w14:textId="77777777" w:rsidR="00CD14C1" w:rsidRPr="00B46FAB" w:rsidRDefault="00CD14C1" w:rsidP="00A356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b/>
                <w:bCs/>
                <w:kern w:val="2"/>
                <w:lang w:val="en-GB"/>
              </w:rPr>
              <w:t>Factors</w:t>
            </w:r>
          </w:p>
        </w:tc>
        <w:tc>
          <w:tcPr>
            <w:tcW w:w="1911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D1F3418" w14:textId="77777777" w:rsidR="00CD14C1" w:rsidRPr="00B46FAB" w:rsidRDefault="00CD14C1" w:rsidP="00A3568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b/>
                <w:bCs/>
                <w:kern w:val="2"/>
              </w:rPr>
              <w:t>Temperate estuaries</w:t>
            </w:r>
          </w:p>
        </w:tc>
        <w:tc>
          <w:tcPr>
            <w:tcW w:w="2187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11E6C10" w14:textId="77777777" w:rsidR="00CD14C1" w:rsidRPr="00B46FAB" w:rsidRDefault="00CD14C1" w:rsidP="00A3568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b/>
                <w:bCs/>
                <w:kern w:val="2"/>
              </w:rPr>
              <w:t>Tropical estuaries</w:t>
            </w:r>
          </w:p>
        </w:tc>
      </w:tr>
      <w:tr w:rsidR="00CD14C1" w:rsidRPr="00B46FAB" w14:paraId="2E6F0D26" w14:textId="77777777" w:rsidTr="00CD14C1">
        <w:trPr>
          <w:trHeight w:val="80"/>
        </w:trPr>
        <w:tc>
          <w:tcPr>
            <w:tcW w:w="902" w:type="pct"/>
            <w:tcBorders>
              <w:top w:val="single" w:sz="4" w:space="0" w:color="auto"/>
            </w:tcBorders>
            <w:vAlign w:val="center"/>
            <w:hideMark/>
          </w:tcPr>
          <w:p w14:paraId="5D2FCCC5" w14:textId="77777777" w:rsidR="00CD14C1" w:rsidRPr="00B46FAB" w:rsidRDefault="00CD14C1" w:rsidP="00A3568E">
            <w:pPr>
              <w:spacing w:after="0" w:line="240" w:lineRule="auto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Climate </w:t>
            </w:r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(a)</w:t>
            </w:r>
          </w:p>
        </w:tc>
        <w:tc>
          <w:tcPr>
            <w:tcW w:w="1911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DCF8E97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Season: </w:t>
            </w:r>
            <w:r w:rsidRPr="00B46FAB">
              <w:rPr>
                <w:rFonts w:ascii="Times New Roman" w:hAnsi="Times New Roman" w:cs="Times New Roman"/>
                <w:kern w:val="2"/>
              </w:rPr>
              <w:t>4 seasons</w:t>
            </w:r>
          </w:p>
          <w:p w14:paraId="6E9DF558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Light: Variable</w:t>
            </w:r>
          </w:p>
          <w:p w14:paraId="3CDA1D8A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Temperature: Variable</w:t>
            </w:r>
          </w:p>
        </w:tc>
        <w:tc>
          <w:tcPr>
            <w:tcW w:w="2187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6AC189E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Two</w:t>
            </w:r>
            <w:r w:rsidRPr="00B46FAB">
              <w:rPr>
                <w:rFonts w:ascii="Times New Roman" w:hAnsi="Times New Roman" w:cs="Times New Roman"/>
                <w:kern w:val="2"/>
              </w:rPr>
              <w:t xml:space="preserve"> seasons: dry and rainy season</w:t>
            </w:r>
          </w:p>
          <w:p w14:paraId="633924F0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Light: Higher and relative constant</w:t>
            </w:r>
          </w:p>
          <w:p w14:paraId="224AE63A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Temperature: Higher and relative constant</w:t>
            </w:r>
          </w:p>
        </w:tc>
      </w:tr>
      <w:tr w:rsidR="00CD14C1" w:rsidRPr="00B46FAB" w14:paraId="548EB91B" w14:textId="77777777" w:rsidTr="00CD14C1">
        <w:trPr>
          <w:trHeight w:val="58"/>
        </w:trPr>
        <w:tc>
          <w:tcPr>
            <w:tcW w:w="902" w:type="pct"/>
            <w:vAlign w:val="center"/>
          </w:tcPr>
          <w:p w14:paraId="7558289E" w14:textId="77777777" w:rsidR="00CD14C1" w:rsidRPr="00B46FAB" w:rsidRDefault="00CD14C1" w:rsidP="00A3568E">
            <w:pPr>
              <w:spacing w:after="0" w:line="240" w:lineRule="auto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 xml:space="preserve">Hydrology </w:t>
            </w:r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(a)</w:t>
            </w:r>
          </w:p>
        </w:tc>
        <w:tc>
          <w:tcPr>
            <w:tcW w:w="19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1B2FFB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 xml:space="preserve">Discharge: More stable </w:t>
            </w:r>
          </w:p>
          <w:p w14:paraId="780C9050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Flushing capacity: More stable</w:t>
            </w:r>
          </w:p>
          <w:p w14:paraId="15094EFE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Less mangrove system in temperate estuaries</w:t>
            </w:r>
          </w:p>
        </w:tc>
        <w:tc>
          <w:tcPr>
            <w:tcW w:w="21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28188D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 xml:space="preserve">Discharge: Large seasonal variation </w:t>
            </w:r>
          </w:p>
          <w:p w14:paraId="1A42AE7E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Flushing capacity: High variation</w:t>
            </w:r>
          </w:p>
          <w:p w14:paraId="0B2CE660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The s</w:t>
            </w:r>
            <w:r w:rsidRPr="00B46FAB">
              <w:rPr>
                <w:rFonts w:ascii="Times New Roman" w:hAnsi="Times New Roman" w:cs="Times New Roman"/>
                <w:kern w:val="2"/>
              </w:rPr>
              <w:t>trong impact of mangrove</w:t>
            </w:r>
            <w:r>
              <w:rPr>
                <w:rFonts w:ascii="Times New Roman" w:hAnsi="Times New Roman" w:cs="Times New Roman"/>
                <w:kern w:val="2"/>
              </w:rPr>
              <w:t>s</w:t>
            </w:r>
            <w:r w:rsidRPr="00B46FAB">
              <w:rPr>
                <w:rFonts w:ascii="Times New Roman" w:hAnsi="Times New Roman" w:cs="Times New Roman"/>
                <w:kern w:val="2"/>
              </w:rPr>
              <w:t xml:space="preserve"> in downstream </w:t>
            </w:r>
          </w:p>
        </w:tc>
      </w:tr>
      <w:tr w:rsidR="00CD14C1" w:rsidRPr="00B46FAB" w14:paraId="6131D263" w14:textId="77777777" w:rsidTr="00CD14C1">
        <w:trPr>
          <w:trHeight w:val="242"/>
        </w:trPr>
        <w:tc>
          <w:tcPr>
            <w:tcW w:w="902" w:type="pct"/>
            <w:vAlign w:val="center"/>
          </w:tcPr>
          <w:p w14:paraId="02601E8C" w14:textId="77777777" w:rsidR="00CD14C1" w:rsidRPr="00B46FAB" w:rsidRDefault="00CD14C1" w:rsidP="00A3568E">
            <w:pPr>
              <w:spacing w:after="0" w:line="240" w:lineRule="auto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 xml:space="preserve">Nutrient loads </w:t>
            </w:r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(a)</w:t>
            </w:r>
          </w:p>
        </w:tc>
        <w:tc>
          <w:tcPr>
            <w:tcW w:w="19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09D41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Stable or decrease in recent years</w:t>
            </w:r>
          </w:p>
        </w:tc>
        <w:tc>
          <w:tcPr>
            <w:tcW w:w="21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D8987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Increase by urbanization</w:t>
            </w:r>
          </w:p>
        </w:tc>
      </w:tr>
      <w:tr w:rsidR="00CD14C1" w:rsidRPr="00B46FAB" w14:paraId="6107DFDE" w14:textId="77777777" w:rsidTr="00CD14C1">
        <w:trPr>
          <w:trHeight w:val="242"/>
        </w:trPr>
        <w:tc>
          <w:tcPr>
            <w:tcW w:w="902" w:type="pct"/>
            <w:vAlign w:val="center"/>
          </w:tcPr>
          <w:p w14:paraId="4F6111B5" w14:textId="77777777" w:rsidR="00CD14C1" w:rsidRPr="00B46FAB" w:rsidRDefault="00CD14C1" w:rsidP="00A3568E">
            <w:pPr>
              <w:spacing w:after="0" w:line="240" w:lineRule="auto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Variables in water column</w:t>
            </w:r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 xml:space="preserve"> (a)</w:t>
            </w:r>
          </w:p>
        </w:tc>
        <w:tc>
          <w:tcPr>
            <w:tcW w:w="19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F11C40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>Silica: Can be limit</w:t>
            </w:r>
            <w:r>
              <w:rPr>
                <w:rFonts w:ascii="Times New Roman" w:hAnsi="Times New Roman" w:cs="Times New Roman"/>
                <w:kern w:val="2"/>
                <w:lang w:val="en-GB"/>
              </w:rPr>
              <w:t>ing</w:t>
            </w: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 </w:t>
            </w:r>
            <w:r w:rsidRPr="00B46FAB">
              <w:rPr>
                <w:rFonts w:ascii="Times New Roman" w:hAnsi="Times New Roman" w:cs="Times New Roman"/>
                <w:kern w:val="2"/>
              </w:rPr>
              <w:t>for production</w:t>
            </w:r>
          </w:p>
          <w:p w14:paraId="11D5B8BE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Turbidity: more stable</w:t>
            </w:r>
          </w:p>
        </w:tc>
        <w:tc>
          <w:tcPr>
            <w:tcW w:w="21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1CFD4E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Silica: </w:t>
            </w:r>
            <w:r w:rsidRPr="00B46FAB">
              <w:rPr>
                <w:rFonts w:ascii="Times New Roman" w:hAnsi="Times New Roman" w:cs="Times New Roman"/>
                <w:kern w:val="2"/>
              </w:rPr>
              <w:t>Less likely to limit primary production</w:t>
            </w:r>
          </w:p>
          <w:p w14:paraId="262E8097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Turbidity: high seasonal variation</w:t>
            </w:r>
          </w:p>
        </w:tc>
      </w:tr>
      <w:tr w:rsidR="00CD14C1" w:rsidRPr="00B46FAB" w14:paraId="18C06C56" w14:textId="77777777" w:rsidTr="00CD14C1">
        <w:trPr>
          <w:trHeight w:val="242"/>
        </w:trPr>
        <w:tc>
          <w:tcPr>
            <w:tcW w:w="902" w:type="pct"/>
            <w:vAlign w:val="center"/>
          </w:tcPr>
          <w:p w14:paraId="06243EA3" w14:textId="77777777" w:rsidR="00CD14C1" w:rsidRPr="00B46FAB" w:rsidRDefault="00CD14C1" w:rsidP="00A3568E">
            <w:pPr>
              <w:spacing w:after="0" w:line="240" w:lineRule="auto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Variables in bottom sediments</w:t>
            </w:r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 xml:space="preserve"> (a)</w:t>
            </w:r>
          </w:p>
        </w:tc>
        <w:tc>
          <w:tcPr>
            <w:tcW w:w="19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83B7C6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>High organic carbon content</w:t>
            </w:r>
          </w:p>
          <w:p w14:paraId="532E087C" w14:textId="77777777" w:rsidR="00CD14C1" w:rsidRPr="00B46FAB" w:rsidRDefault="00CD14C1" w:rsidP="00A3568E">
            <w:pPr>
              <w:pStyle w:val="ListParagraph"/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</w:p>
        </w:tc>
        <w:tc>
          <w:tcPr>
            <w:tcW w:w="21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0869EB" w14:textId="77777777" w:rsidR="00CD14C1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>Higher organic carbon and carbonate</w:t>
            </w:r>
          </w:p>
          <w:p w14:paraId="65D43349" w14:textId="4167BADC" w:rsidR="00CD14C1" w:rsidRPr="00884C85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>
              <w:rPr>
                <w:rFonts w:ascii="Times New Roman" w:hAnsi="Times New Roman" w:cs="Times New Roman"/>
                <w:kern w:val="2"/>
                <w:lang w:val="en-GB"/>
              </w:rPr>
              <w:t>High concentration of PO</w:t>
            </w:r>
            <w:r w:rsidRPr="00DE6B43">
              <w:rPr>
                <w:rFonts w:ascii="Times New Roman" w:hAnsi="Times New Roman" w:cs="Times New Roman"/>
                <w:kern w:val="2"/>
                <w:vertAlign w:val="subscript"/>
                <w:lang w:val="en-GB"/>
              </w:rPr>
              <w:t>4</w:t>
            </w:r>
            <w:r w:rsidR="00DE6B43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3-</w:t>
            </w:r>
          </w:p>
        </w:tc>
      </w:tr>
      <w:tr w:rsidR="00CD14C1" w:rsidRPr="00B46FAB" w14:paraId="01C19BA6" w14:textId="77777777" w:rsidTr="00CD14C1">
        <w:trPr>
          <w:trHeight w:val="242"/>
        </w:trPr>
        <w:tc>
          <w:tcPr>
            <w:tcW w:w="902" w:type="pct"/>
            <w:vAlign w:val="center"/>
          </w:tcPr>
          <w:p w14:paraId="2908D98A" w14:textId="77777777" w:rsidR="00CD14C1" w:rsidRPr="00B46FAB" w:rsidRDefault="00CD14C1" w:rsidP="00A3568E">
            <w:pPr>
              <w:spacing w:after="0" w:line="240" w:lineRule="auto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 xml:space="preserve">Seawater </w:t>
            </w:r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(a)</w:t>
            </w:r>
          </w:p>
        </w:tc>
        <w:tc>
          <w:tcPr>
            <w:tcW w:w="19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8E42BF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Variable concentrations because of seasonal biological activities </w:t>
            </w:r>
          </w:p>
        </w:tc>
        <w:tc>
          <w:tcPr>
            <w:tcW w:w="21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A37B65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>Seawater concentrations are more stable due to constant input of insolation (light, temperature)</w:t>
            </w:r>
            <w:r>
              <w:rPr>
                <w:rFonts w:ascii="Times New Roman" w:hAnsi="Times New Roman" w:cs="Times New Roman"/>
                <w:kern w:val="2"/>
                <w:lang w:val="en-GB"/>
              </w:rPr>
              <w:t xml:space="preserve"> than temperate </w:t>
            </w:r>
          </w:p>
        </w:tc>
      </w:tr>
      <w:tr w:rsidR="00CD14C1" w:rsidRPr="00B46FAB" w14:paraId="76B52ECC" w14:textId="77777777" w:rsidTr="00CD14C1">
        <w:trPr>
          <w:trHeight w:val="242"/>
        </w:trPr>
        <w:tc>
          <w:tcPr>
            <w:tcW w:w="902" w:type="pct"/>
            <w:vAlign w:val="center"/>
          </w:tcPr>
          <w:p w14:paraId="7B7CED7E" w14:textId="77777777" w:rsidR="00CD14C1" w:rsidRPr="00B46FAB" w:rsidRDefault="00CD14C1" w:rsidP="00A3568E">
            <w:pPr>
              <w:spacing w:after="0" w:line="240" w:lineRule="auto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 xml:space="preserve">Phytoplankton </w:t>
            </w:r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(a)</w:t>
            </w:r>
          </w:p>
        </w:tc>
        <w:tc>
          <w:tcPr>
            <w:tcW w:w="19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FF1D7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Easier shift to non-silicious phytoplankton</w:t>
            </w:r>
          </w:p>
        </w:tc>
        <w:tc>
          <w:tcPr>
            <w:tcW w:w="21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D8146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>
              <w:rPr>
                <w:rFonts w:ascii="Times New Roman" w:hAnsi="Times New Roman" w:cs="Times New Roman"/>
                <w:kern w:val="2"/>
                <w:lang w:val="en-GB"/>
              </w:rPr>
              <w:t>The d</w:t>
            </w: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>ominant phytoplankton group is diatom</w:t>
            </w:r>
          </w:p>
        </w:tc>
      </w:tr>
      <w:tr w:rsidR="00CD14C1" w:rsidRPr="00B46FAB" w14:paraId="1266B3F9" w14:textId="77777777" w:rsidTr="00CD14C1">
        <w:trPr>
          <w:trHeight w:val="58"/>
        </w:trPr>
        <w:tc>
          <w:tcPr>
            <w:tcW w:w="902" w:type="pct"/>
            <w:vAlign w:val="center"/>
          </w:tcPr>
          <w:p w14:paraId="1FD14D2F" w14:textId="77777777" w:rsidR="00CD14C1" w:rsidRPr="00B46FAB" w:rsidRDefault="00CD14C1" w:rsidP="00A3568E">
            <w:pPr>
              <w:spacing w:after="0" w:line="240" w:lineRule="auto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>Biogeochemical process</w:t>
            </w:r>
          </w:p>
        </w:tc>
        <w:tc>
          <w:tcPr>
            <w:tcW w:w="19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8ACE54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Reaction rates are lower </w:t>
            </w:r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(a, b)</w:t>
            </w:r>
          </w:p>
          <w:p w14:paraId="571A4694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There is </w:t>
            </w:r>
            <w:r>
              <w:rPr>
                <w:rFonts w:ascii="Times New Roman" w:hAnsi="Times New Roman" w:cs="Times New Roman"/>
                <w:kern w:val="2"/>
                <w:lang w:val="en-GB"/>
              </w:rPr>
              <w:t xml:space="preserve">a </w:t>
            </w: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limitation of production in </w:t>
            </w:r>
            <w:r>
              <w:rPr>
                <w:rFonts w:ascii="Times New Roman" w:hAnsi="Times New Roman" w:cs="Times New Roman"/>
                <w:kern w:val="2"/>
                <w:lang w:val="en-GB"/>
              </w:rPr>
              <w:t xml:space="preserve">the </w:t>
            </w: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cold period </w:t>
            </w:r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(b)</w:t>
            </w:r>
          </w:p>
          <w:p w14:paraId="26128258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Nitrification is no longer a major factor because of </w:t>
            </w:r>
            <w:r>
              <w:rPr>
                <w:rFonts w:ascii="Times New Roman" w:hAnsi="Times New Roman" w:cs="Times New Roman"/>
                <w:kern w:val="2"/>
                <w:lang w:val="en-GB"/>
              </w:rPr>
              <w:t xml:space="preserve">the </w:t>
            </w: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decrease of NH4 </w:t>
            </w:r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(d)</w:t>
            </w:r>
          </w:p>
        </w:tc>
        <w:tc>
          <w:tcPr>
            <w:tcW w:w="21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1F36FF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Reaction rates: Higher biological uptake and excretion </w:t>
            </w:r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(a)</w:t>
            </w:r>
          </w:p>
          <w:p w14:paraId="5B8DA3FC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No temperature limitation for production </w:t>
            </w:r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(b)</w:t>
            </w:r>
          </w:p>
          <w:p w14:paraId="63D8E219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Dominated by OM oxidation, nitrification, deposition </w:t>
            </w:r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(</w:t>
            </w:r>
            <w:proofErr w:type="spellStart"/>
            <w:proofErr w:type="gramStart"/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f,g</w:t>
            </w:r>
            <w:proofErr w:type="gramEnd"/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,h</w:t>
            </w:r>
            <w:proofErr w:type="spellEnd"/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)</w:t>
            </w:r>
          </w:p>
        </w:tc>
      </w:tr>
      <w:tr w:rsidR="00CD14C1" w:rsidRPr="00B46FAB" w14:paraId="28F8C375" w14:textId="77777777" w:rsidTr="00CD14C1">
        <w:trPr>
          <w:trHeight w:val="58"/>
        </w:trPr>
        <w:tc>
          <w:tcPr>
            <w:tcW w:w="902" w:type="pct"/>
            <w:vAlign w:val="center"/>
          </w:tcPr>
          <w:p w14:paraId="09131799" w14:textId="77777777" w:rsidR="00CD14C1" w:rsidRPr="00B46FAB" w:rsidRDefault="00CD14C1" w:rsidP="00A3568E">
            <w:pPr>
              <w:spacing w:after="0" w:line="240" w:lineRule="auto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>Nutrient export to coastal zone, ocean</w:t>
            </w:r>
          </w:p>
        </w:tc>
        <w:tc>
          <w:tcPr>
            <w:tcW w:w="19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D0EA4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Low nutrient retention rate. 75% </w:t>
            </w:r>
            <w:r>
              <w:rPr>
                <w:rFonts w:ascii="Times New Roman" w:hAnsi="Times New Roman" w:cs="Times New Roman"/>
                <w:kern w:val="2"/>
                <w:lang w:val="en-GB"/>
              </w:rPr>
              <w:t xml:space="preserve">of </w:t>
            </w: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nutrients can be exported to </w:t>
            </w:r>
            <w:r>
              <w:rPr>
                <w:rFonts w:ascii="Times New Roman" w:hAnsi="Times New Roman" w:cs="Times New Roman"/>
                <w:kern w:val="2"/>
                <w:lang w:val="en-GB"/>
              </w:rPr>
              <w:t xml:space="preserve">the </w:t>
            </w: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ocean. Less seasonal variation </w:t>
            </w:r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(c)</w:t>
            </w:r>
          </w:p>
          <w:p w14:paraId="24A77D0D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Less than 10% </w:t>
            </w:r>
            <w:r>
              <w:rPr>
                <w:rFonts w:ascii="Times New Roman" w:hAnsi="Times New Roman" w:cs="Times New Roman"/>
                <w:kern w:val="2"/>
                <w:lang w:val="en-GB"/>
              </w:rPr>
              <w:t xml:space="preserve">of </w:t>
            </w: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nutrients were retained/buried in sediment </w:t>
            </w:r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(b)</w:t>
            </w:r>
          </w:p>
        </w:tc>
        <w:tc>
          <w:tcPr>
            <w:tcW w:w="21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751C89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Similarly, retention of nutrients is low in </w:t>
            </w:r>
            <w:r>
              <w:rPr>
                <w:rFonts w:ascii="Times New Roman" w:hAnsi="Times New Roman" w:cs="Times New Roman"/>
                <w:kern w:val="2"/>
                <w:lang w:val="en-GB"/>
              </w:rPr>
              <w:t xml:space="preserve">the </w:t>
            </w: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rainy season but much higher in </w:t>
            </w:r>
            <w:r>
              <w:rPr>
                <w:rFonts w:ascii="Times New Roman" w:hAnsi="Times New Roman" w:cs="Times New Roman"/>
                <w:kern w:val="2"/>
                <w:lang w:val="en-GB"/>
              </w:rPr>
              <w:t xml:space="preserve">the </w:t>
            </w: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dry season, thus less nutrient export </w:t>
            </w:r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(f)</w:t>
            </w:r>
          </w:p>
          <w:p w14:paraId="4FD4922E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Higher phosphate retention (higher sorption), but small nitrogen burial (around 2.5%) in sediment </w:t>
            </w:r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(b)</w:t>
            </w:r>
          </w:p>
        </w:tc>
      </w:tr>
      <w:tr w:rsidR="00CD14C1" w:rsidRPr="00B46FAB" w14:paraId="6797F4F1" w14:textId="77777777" w:rsidTr="00CD14C1">
        <w:trPr>
          <w:trHeight w:val="58"/>
        </w:trPr>
        <w:tc>
          <w:tcPr>
            <w:tcW w:w="902" w:type="pct"/>
            <w:vAlign w:val="center"/>
          </w:tcPr>
          <w:p w14:paraId="6A6F23B0" w14:textId="77777777" w:rsidR="00CD14C1" w:rsidRPr="00B46FAB" w:rsidRDefault="00CD14C1" w:rsidP="00A3568E">
            <w:pPr>
              <w:spacing w:after="0" w:line="240" w:lineRule="auto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Assimilation capacity </w:t>
            </w:r>
          </w:p>
        </w:tc>
        <w:tc>
          <w:tcPr>
            <w:tcW w:w="19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B8FC04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>
              <w:rPr>
                <w:rFonts w:ascii="Times New Roman" w:hAnsi="Times New Roman" w:cs="Times New Roman"/>
                <w:kern w:val="2"/>
                <w:lang w:val="en-GB"/>
              </w:rPr>
              <w:t>N</w:t>
            </w: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et removal of N and Si, but a source of P because of P desorption </w:t>
            </w:r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(c)</w:t>
            </w:r>
          </w:p>
          <w:p w14:paraId="07A90092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30–65% N can be removed by physical, biological processes in estuaries </w:t>
            </w:r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(d)</w:t>
            </w:r>
          </w:p>
        </w:tc>
        <w:tc>
          <w:tcPr>
            <w:tcW w:w="21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878FB7" w14:textId="0A929535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>Act as a sink for OC, NH</w:t>
            </w:r>
            <w:r w:rsidRPr="00DE6B43">
              <w:rPr>
                <w:rFonts w:ascii="Times New Roman" w:hAnsi="Times New Roman" w:cs="Times New Roman"/>
                <w:kern w:val="2"/>
                <w:vertAlign w:val="subscript"/>
                <w:lang w:val="en-GB"/>
              </w:rPr>
              <w:t>4</w:t>
            </w:r>
            <w:r w:rsidR="00DE6B43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+</w:t>
            </w: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>, PO</w:t>
            </w:r>
            <w:r w:rsidRPr="00DE6B43">
              <w:rPr>
                <w:rFonts w:ascii="Times New Roman" w:hAnsi="Times New Roman" w:cs="Times New Roman"/>
                <w:kern w:val="2"/>
                <w:vertAlign w:val="subscript"/>
                <w:lang w:val="en-GB"/>
              </w:rPr>
              <w:t>4</w:t>
            </w:r>
            <w:r w:rsidR="00DE6B43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3-</w:t>
            </w: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 but a source for NO</w:t>
            </w:r>
            <w:r w:rsidRPr="00DE6B43">
              <w:rPr>
                <w:rFonts w:ascii="Times New Roman" w:hAnsi="Times New Roman" w:cs="Times New Roman"/>
                <w:kern w:val="2"/>
                <w:vertAlign w:val="subscript"/>
                <w:lang w:val="en-GB"/>
              </w:rPr>
              <w:t>3</w:t>
            </w:r>
            <w:r w:rsidR="00DE6B43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-</w:t>
            </w: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 </w:t>
            </w:r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(g)</w:t>
            </w:r>
          </w:p>
          <w:p w14:paraId="60A165E6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Higher N removal because of higher denitrification rate </w:t>
            </w:r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(b)</w:t>
            </w:r>
          </w:p>
          <w:p w14:paraId="2ACF23AA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E.g., 50%, 37% and 11% C, N, P of external sources were removed by Pearl River in 1999 </w:t>
            </w:r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(g)</w:t>
            </w:r>
          </w:p>
        </w:tc>
      </w:tr>
      <w:tr w:rsidR="00CD14C1" w:rsidRPr="00B46FAB" w14:paraId="5BC562F8" w14:textId="77777777" w:rsidTr="00A3568E">
        <w:trPr>
          <w:trHeight w:val="54"/>
        </w:trPr>
        <w:tc>
          <w:tcPr>
            <w:tcW w:w="902" w:type="pct"/>
            <w:vAlign w:val="center"/>
          </w:tcPr>
          <w:p w14:paraId="4B9CA6A1" w14:textId="77777777" w:rsidR="00CD14C1" w:rsidRPr="00B46FAB" w:rsidRDefault="00CD14C1" w:rsidP="00A3568E">
            <w:pPr>
              <w:spacing w:after="0" w:line="240" w:lineRule="auto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Climate change </w:t>
            </w:r>
            <w:r w:rsidRPr="00B46FAB">
              <w:rPr>
                <w:rFonts w:ascii="Times New Roman" w:hAnsi="Times New Roman" w:cs="Times New Roman"/>
                <w:kern w:val="2"/>
                <w:vertAlign w:val="superscript"/>
                <w:lang w:val="en-GB"/>
              </w:rPr>
              <w:t>(b)</w:t>
            </w:r>
          </w:p>
        </w:tc>
        <w:tc>
          <w:tcPr>
            <w:tcW w:w="19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1499A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>
              <w:rPr>
                <w:rFonts w:ascii="Times New Roman" w:hAnsi="Times New Roman" w:cs="Times New Roman"/>
                <w:kern w:val="2"/>
                <w:lang w:val="en-GB"/>
              </w:rPr>
              <w:t>Four</w:t>
            </w: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 seasons may become dry and wet seasons</w:t>
            </w:r>
          </w:p>
        </w:tc>
        <w:tc>
          <w:tcPr>
            <w:tcW w:w="21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616DFD" w14:textId="77777777" w:rsidR="00CD14C1" w:rsidRPr="00B46FAB" w:rsidRDefault="00CD14C1" w:rsidP="00A35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Greater contrasting seasonal </w:t>
            </w:r>
            <w:proofErr w:type="spellStart"/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>behavior</w:t>
            </w:r>
            <w:proofErr w:type="spellEnd"/>
          </w:p>
        </w:tc>
      </w:tr>
      <w:tr w:rsidR="00CD14C1" w:rsidRPr="00217F2F" w14:paraId="1911E9E3" w14:textId="77777777" w:rsidTr="00CD14C1">
        <w:trPr>
          <w:trHeight w:val="584"/>
        </w:trPr>
        <w:tc>
          <w:tcPr>
            <w:tcW w:w="902" w:type="pct"/>
          </w:tcPr>
          <w:p w14:paraId="3E7298B0" w14:textId="77777777" w:rsidR="00CD14C1" w:rsidRPr="00B46FAB" w:rsidRDefault="00CD14C1" w:rsidP="00A3568E">
            <w:pPr>
              <w:spacing w:after="0" w:line="240" w:lineRule="auto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a: Eyre et al., 1999</w:t>
            </w:r>
          </w:p>
          <w:p w14:paraId="4D58748C" w14:textId="77777777" w:rsidR="00CD14C1" w:rsidRPr="00B46FAB" w:rsidRDefault="00CD14C1" w:rsidP="00A3568E">
            <w:pPr>
              <w:spacing w:after="0" w:line="240" w:lineRule="auto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b: </w:t>
            </w:r>
            <w:proofErr w:type="spellStart"/>
            <w:r w:rsidRPr="00B46FAB">
              <w:rPr>
                <w:rFonts w:ascii="Times New Roman" w:hAnsi="Times New Roman" w:cs="Times New Roman"/>
                <w:kern w:val="2"/>
              </w:rPr>
              <w:t>Tappin</w:t>
            </w:r>
            <w:proofErr w:type="spellEnd"/>
            <w:r w:rsidRPr="00B46FAB">
              <w:rPr>
                <w:rFonts w:ascii="Times New Roman" w:hAnsi="Times New Roman" w:cs="Times New Roman"/>
                <w:kern w:val="2"/>
              </w:rPr>
              <w:t xml:space="preserve"> 2002</w:t>
            </w:r>
          </w:p>
          <w:p w14:paraId="557C0C2E" w14:textId="77777777" w:rsidR="00CD14C1" w:rsidRPr="00B46FAB" w:rsidRDefault="00CD14C1" w:rsidP="00A3568E">
            <w:pPr>
              <w:spacing w:after="0" w:line="240" w:lineRule="auto"/>
              <w:rPr>
                <w:rFonts w:ascii="Times New Roman" w:hAnsi="Times New Roman" w:cs="Times New Roman"/>
                <w:kern w:val="2"/>
                <w:lang w:val="en-GB"/>
              </w:rPr>
            </w:pPr>
          </w:p>
        </w:tc>
        <w:tc>
          <w:tcPr>
            <w:tcW w:w="1911" w:type="pct"/>
            <w:tcBorders>
              <w:top w:val="single" w:sz="4" w:space="0" w:color="auto"/>
            </w:tcBorders>
          </w:tcPr>
          <w:p w14:paraId="12EC1B14" w14:textId="77777777" w:rsidR="00CD14C1" w:rsidRPr="00B46FAB" w:rsidRDefault="00CD14C1" w:rsidP="00A3568E">
            <w:p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en-GB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>c: Romero et al., 2019</w:t>
            </w:r>
          </w:p>
          <w:p w14:paraId="06D783FE" w14:textId="77777777" w:rsidR="00CD14C1" w:rsidRPr="00B46FAB" w:rsidRDefault="00CD14C1" w:rsidP="00A3568E">
            <w:p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 xml:space="preserve">d: </w:t>
            </w: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>Nixon et al. 1996</w:t>
            </w:r>
          </w:p>
        </w:tc>
        <w:tc>
          <w:tcPr>
            <w:tcW w:w="2187" w:type="pct"/>
            <w:tcBorders>
              <w:top w:val="single" w:sz="4" w:space="0" w:color="auto"/>
            </w:tcBorders>
          </w:tcPr>
          <w:p w14:paraId="14EF63D2" w14:textId="77777777" w:rsidR="00CD14C1" w:rsidRPr="00B46FAB" w:rsidRDefault="00CD14C1" w:rsidP="00A3568E">
            <w:p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  <w:lang w:val="en-GB"/>
              </w:rPr>
              <w:t xml:space="preserve">e: </w:t>
            </w:r>
            <w:r w:rsidRPr="00B46FAB">
              <w:rPr>
                <w:rFonts w:ascii="Times New Roman" w:hAnsi="Times New Roman" w:cs="Times New Roman"/>
                <w:kern w:val="2"/>
              </w:rPr>
              <w:t>McKee et al., 1999</w:t>
            </w:r>
          </w:p>
          <w:p w14:paraId="3ED519C6" w14:textId="43768B1C" w:rsidR="00CD14C1" w:rsidRPr="00856A05" w:rsidRDefault="00CD14C1" w:rsidP="00A3568E">
            <w:pPr>
              <w:spacing w:after="0" w:line="240" w:lineRule="auto"/>
              <w:ind w:left="180" w:hanging="180"/>
              <w:jc w:val="both"/>
              <w:rPr>
                <w:rFonts w:ascii="Times New Roman" w:eastAsia="Times New Roman" w:hAnsi="Times New Roman" w:cs="Times New Roman"/>
                <w:kern w:val="2"/>
                <w:lang w:val="fr-FR"/>
              </w:rPr>
            </w:pPr>
            <w:proofErr w:type="gramStart"/>
            <w:r w:rsidRPr="00856A05">
              <w:rPr>
                <w:rFonts w:ascii="Times New Roman" w:hAnsi="Times New Roman" w:cs="Times New Roman"/>
                <w:kern w:val="2"/>
                <w:lang w:val="fr-FR"/>
              </w:rPr>
              <w:t>f:</w:t>
            </w:r>
            <w:proofErr w:type="gramEnd"/>
            <w:r w:rsidRPr="00856A05">
              <w:rPr>
                <w:rFonts w:ascii="Times New Roman" w:hAnsi="Times New Roman" w:cs="Times New Roman"/>
                <w:kern w:val="2"/>
                <w:lang w:val="fr-FR"/>
              </w:rPr>
              <w:t xml:space="preserve"> Le et al., 2010, </w:t>
            </w:r>
            <w:r w:rsidRPr="00856A05">
              <w:rPr>
                <w:rFonts w:ascii="Times New Roman" w:eastAsia="Times New Roman" w:hAnsi="Times New Roman" w:cs="Times New Roman"/>
                <w:kern w:val="2"/>
                <w:lang w:val="fr-FR"/>
              </w:rPr>
              <w:t>Trinh et al., 2010</w:t>
            </w:r>
          </w:p>
          <w:p w14:paraId="104A9A66" w14:textId="77777777" w:rsidR="00CD14C1" w:rsidRPr="00856A05" w:rsidRDefault="00CD14C1" w:rsidP="00A3568E">
            <w:p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kern w:val="2"/>
                <w:lang w:val="fr-FR"/>
              </w:rPr>
            </w:pPr>
            <w:proofErr w:type="gramStart"/>
            <w:r w:rsidRPr="00856A05">
              <w:rPr>
                <w:rFonts w:ascii="Times New Roman" w:hAnsi="Times New Roman" w:cs="Times New Roman"/>
                <w:kern w:val="2"/>
                <w:lang w:val="fr-FR"/>
              </w:rPr>
              <w:t>g:</w:t>
            </w:r>
            <w:proofErr w:type="gramEnd"/>
            <w:r w:rsidRPr="00856A05">
              <w:rPr>
                <w:rFonts w:ascii="Times New Roman" w:hAnsi="Times New Roman" w:cs="Times New Roman"/>
                <w:kern w:val="2"/>
                <w:lang w:val="fr-FR"/>
              </w:rPr>
              <w:t xml:space="preserve"> Hu et al., 2009, h: Yu et al. 2019</w:t>
            </w:r>
          </w:p>
        </w:tc>
      </w:tr>
    </w:tbl>
    <w:p w14:paraId="73D11DE3" w14:textId="77777777" w:rsidR="003023E4" w:rsidRPr="00CD14C1" w:rsidRDefault="003023E4" w:rsidP="00A3568E">
      <w:pPr>
        <w:rPr>
          <w:lang w:val="fr-FR"/>
        </w:rPr>
      </w:pPr>
    </w:p>
    <w:sectPr w:rsidR="003023E4" w:rsidRPr="00CD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A8DEA" w14:textId="77777777" w:rsidR="00A3568E" w:rsidRDefault="00A3568E" w:rsidP="00A3568E">
      <w:pPr>
        <w:spacing w:after="0" w:line="240" w:lineRule="auto"/>
      </w:pPr>
      <w:r>
        <w:separator/>
      </w:r>
    </w:p>
  </w:endnote>
  <w:endnote w:type="continuationSeparator" w:id="0">
    <w:p w14:paraId="364840AA" w14:textId="77777777" w:rsidR="00A3568E" w:rsidRDefault="00A3568E" w:rsidP="00A35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14596" w14:textId="77777777" w:rsidR="00A3568E" w:rsidRDefault="00A3568E" w:rsidP="00A3568E">
      <w:pPr>
        <w:spacing w:after="0" w:line="240" w:lineRule="auto"/>
      </w:pPr>
      <w:r>
        <w:separator/>
      </w:r>
    </w:p>
  </w:footnote>
  <w:footnote w:type="continuationSeparator" w:id="0">
    <w:p w14:paraId="4535921D" w14:textId="77777777" w:rsidR="00A3568E" w:rsidRDefault="00A3568E" w:rsidP="00A35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37AA3"/>
    <w:multiLevelType w:val="hybridMultilevel"/>
    <w:tmpl w:val="2670F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C1"/>
    <w:rsid w:val="003023E4"/>
    <w:rsid w:val="00A3568E"/>
    <w:rsid w:val="00CD14C1"/>
    <w:rsid w:val="00D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EC2D"/>
  <w15:chartTrackingRefBased/>
  <w15:docId w15:val="{C7CF17FD-85FC-449F-91B4-A0E3C061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4C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D14C1"/>
    <w:pPr>
      <w:ind w:left="720"/>
      <w:contextualSpacing/>
    </w:pPr>
  </w:style>
  <w:style w:type="table" w:styleId="TableGrid">
    <w:name w:val="Table Grid"/>
    <w:basedOn w:val="TableNormal"/>
    <w:uiPriority w:val="39"/>
    <w:rsid w:val="00CD14C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5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68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35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68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vy dinh</cp:lastModifiedBy>
  <cp:revision>3</cp:revision>
  <cp:lastPrinted>2021-10-22T07:34:00Z</cp:lastPrinted>
  <dcterms:created xsi:type="dcterms:W3CDTF">2021-10-22T07:28:00Z</dcterms:created>
  <dcterms:modified xsi:type="dcterms:W3CDTF">2021-10-22T07:35:00Z</dcterms:modified>
</cp:coreProperties>
</file>