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gridCol w:w="1706"/>
        <w:gridCol w:w="1687"/>
        <w:gridCol w:w="2297"/>
      </w:tblGrid>
      <w:tr w:rsidR="00082E61" w:rsidRPr="000A0241" w14:paraId="5F0FAF96" w14:textId="77777777" w:rsidTr="009860BA">
        <w:trPr>
          <w:jc w:val="center"/>
        </w:trPr>
        <w:tc>
          <w:tcPr>
            <w:tcW w:w="0" w:type="auto"/>
            <w:tcBorders>
              <w:top w:val="single" w:sz="4" w:space="0" w:color="auto"/>
              <w:bottom w:val="single" w:sz="4" w:space="0" w:color="auto"/>
            </w:tcBorders>
            <w:vAlign w:val="center"/>
          </w:tcPr>
          <w:p w14:paraId="4EF5EBED" w14:textId="77777777" w:rsidR="00082E61" w:rsidRPr="000A0241" w:rsidRDefault="00082E61" w:rsidP="009860BA">
            <w:pPr>
              <w:spacing w:before="40"/>
              <w:jc w:val="both"/>
              <w:rPr>
                <w:rFonts w:ascii="Arial" w:hAnsi="Arial" w:cs="Arial"/>
                <w:b/>
                <w:bCs/>
                <w:sz w:val="22"/>
                <w:szCs w:val="22"/>
              </w:rPr>
            </w:pPr>
            <w:r w:rsidRPr="000A0241">
              <w:rPr>
                <w:rFonts w:ascii="Arial" w:hAnsi="Arial" w:cs="Arial"/>
                <w:b/>
                <w:bCs/>
                <w:sz w:val="22"/>
                <w:szCs w:val="22"/>
              </w:rPr>
              <w:t xml:space="preserve">Modified parameters </w:t>
            </w:r>
          </w:p>
        </w:tc>
        <w:tc>
          <w:tcPr>
            <w:tcW w:w="1706" w:type="dxa"/>
            <w:tcBorders>
              <w:top w:val="single" w:sz="4" w:space="0" w:color="auto"/>
              <w:bottom w:val="single" w:sz="4" w:space="0" w:color="auto"/>
            </w:tcBorders>
            <w:vAlign w:val="center"/>
          </w:tcPr>
          <w:p w14:paraId="4B68CFE5" w14:textId="77777777" w:rsidR="00082E61" w:rsidRPr="000A0241" w:rsidRDefault="00082E61" w:rsidP="009860BA">
            <w:pPr>
              <w:spacing w:before="40"/>
              <w:jc w:val="both"/>
              <w:rPr>
                <w:rFonts w:ascii="Arial" w:hAnsi="Arial" w:cs="Arial"/>
                <w:b/>
                <w:bCs/>
                <w:sz w:val="22"/>
                <w:szCs w:val="22"/>
              </w:rPr>
            </w:pPr>
            <w:r w:rsidRPr="000A0241">
              <w:rPr>
                <w:rFonts w:ascii="Arial" w:hAnsi="Arial" w:cs="Arial"/>
                <w:b/>
                <w:bCs/>
                <w:sz w:val="22"/>
                <w:szCs w:val="22"/>
              </w:rPr>
              <w:t>Unit</w:t>
            </w:r>
          </w:p>
        </w:tc>
        <w:tc>
          <w:tcPr>
            <w:tcW w:w="1687" w:type="dxa"/>
            <w:tcBorders>
              <w:top w:val="single" w:sz="4" w:space="0" w:color="auto"/>
              <w:bottom w:val="single" w:sz="4" w:space="0" w:color="auto"/>
            </w:tcBorders>
            <w:vAlign w:val="center"/>
          </w:tcPr>
          <w:p w14:paraId="0EFC5425" w14:textId="77777777" w:rsidR="00082E61" w:rsidRPr="000A0241" w:rsidRDefault="00082E61" w:rsidP="009860BA">
            <w:pPr>
              <w:spacing w:before="40"/>
              <w:jc w:val="both"/>
              <w:rPr>
                <w:rFonts w:ascii="Arial" w:hAnsi="Arial" w:cs="Arial"/>
                <w:b/>
                <w:bCs/>
                <w:sz w:val="22"/>
                <w:szCs w:val="22"/>
              </w:rPr>
            </w:pPr>
            <w:r w:rsidRPr="000A0241">
              <w:rPr>
                <w:rFonts w:ascii="Arial" w:hAnsi="Arial" w:cs="Arial"/>
                <w:b/>
                <w:bCs/>
                <w:sz w:val="22"/>
                <w:szCs w:val="22"/>
              </w:rPr>
              <w:t>This study</w:t>
            </w:r>
          </w:p>
        </w:tc>
        <w:tc>
          <w:tcPr>
            <w:tcW w:w="2297" w:type="dxa"/>
            <w:tcBorders>
              <w:top w:val="single" w:sz="4" w:space="0" w:color="auto"/>
            </w:tcBorders>
            <w:vAlign w:val="center"/>
          </w:tcPr>
          <w:p w14:paraId="0134BBA7" w14:textId="77777777" w:rsidR="00082E61" w:rsidRPr="000A0241" w:rsidRDefault="00082E61" w:rsidP="009860BA">
            <w:pPr>
              <w:spacing w:before="40"/>
              <w:jc w:val="both"/>
              <w:rPr>
                <w:rFonts w:ascii="Arial" w:hAnsi="Arial" w:cs="Arial"/>
                <w:b/>
                <w:bCs/>
                <w:sz w:val="22"/>
                <w:szCs w:val="22"/>
              </w:rPr>
            </w:pPr>
            <w:r w:rsidRPr="000A0241">
              <w:rPr>
                <w:rFonts w:ascii="Arial" w:hAnsi="Arial" w:cs="Arial"/>
                <w:b/>
                <w:bCs/>
                <w:sz w:val="22"/>
                <w:szCs w:val="22"/>
              </w:rPr>
              <w:t xml:space="preserve">Reference range </w:t>
            </w:r>
          </w:p>
        </w:tc>
      </w:tr>
      <w:tr w:rsidR="00082E61" w:rsidRPr="000A0241" w14:paraId="004349FD" w14:textId="77777777" w:rsidTr="009860BA">
        <w:trPr>
          <w:jc w:val="center"/>
        </w:trPr>
        <w:tc>
          <w:tcPr>
            <w:tcW w:w="9019" w:type="dxa"/>
            <w:gridSpan w:val="4"/>
            <w:tcBorders>
              <w:top w:val="single" w:sz="4" w:space="0" w:color="auto"/>
            </w:tcBorders>
            <w:vAlign w:val="center"/>
          </w:tcPr>
          <w:p w14:paraId="77CFF6FD" w14:textId="77777777" w:rsidR="00082E61" w:rsidRPr="000A0241" w:rsidRDefault="00082E61" w:rsidP="009860BA">
            <w:pPr>
              <w:spacing w:before="40"/>
              <w:jc w:val="both"/>
              <w:rPr>
                <w:rFonts w:ascii="Arial" w:hAnsi="Arial" w:cs="Arial"/>
                <w:sz w:val="22"/>
                <w:szCs w:val="22"/>
              </w:rPr>
            </w:pPr>
            <w:r w:rsidRPr="000A0241">
              <w:rPr>
                <w:rFonts w:ascii="Arial" w:hAnsi="Arial" w:cs="Arial"/>
                <w:b/>
                <w:bCs/>
                <w:sz w:val="22"/>
                <w:szCs w:val="22"/>
              </w:rPr>
              <w:t>Biological dynamics</w:t>
            </w:r>
          </w:p>
        </w:tc>
      </w:tr>
      <w:tr w:rsidR="00082E61" w:rsidRPr="000A0241" w14:paraId="2C1CF786" w14:textId="77777777" w:rsidTr="009860BA">
        <w:trPr>
          <w:jc w:val="center"/>
        </w:trPr>
        <w:tc>
          <w:tcPr>
            <w:tcW w:w="0" w:type="auto"/>
            <w:tcBorders>
              <w:top w:val="single" w:sz="4" w:space="0" w:color="auto"/>
            </w:tcBorders>
            <w:vAlign w:val="center"/>
          </w:tcPr>
          <w:p w14:paraId="307A2EFA" w14:textId="77777777" w:rsidR="00082E61" w:rsidRPr="000A0241" w:rsidRDefault="00082E61" w:rsidP="009860BA">
            <w:pPr>
              <w:spacing w:before="40"/>
              <w:rPr>
                <w:rFonts w:ascii="Arial" w:hAnsi="Arial" w:cs="Arial"/>
                <w:sz w:val="22"/>
                <w:szCs w:val="22"/>
              </w:rPr>
            </w:pPr>
            <w:r w:rsidRPr="000A0241">
              <w:rPr>
                <w:rFonts w:ascii="Arial" w:hAnsi="Arial" w:cs="Arial"/>
                <w:sz w:val="22"/>
                <w:szCs w:val="22"/>
              </w:rPr>
              <w:t>Maximum speciﬁc photosynthetic rate</w:t>
            </w:r>
          </w:p>
        </w:tc>
        <w:tc>
          <w:tcPr>
            <w:tcW w:w="1706" w:type="dxa"/>
            <w:vAlign w:val="center"/>
          </w:tcPr>
          <w:p w14:paraId="5A68EBE9"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s</w:t>
            </w:r>
            <w:r w:rsidRPr="000A0241">
              <w:rPr>
                <w:rFonts w:ascii="Arial" w:hAnsi="Arial" w:cs="Arial"/>
                <w:sz w:val="22"/>
                <w:szCs w:val="22"/>
                <w:vertAlign w:val="superscript"/>
              </w:rPr>
              <w:t>−1</w:t>
            </w:r>
          </w:p>
        </w:tc>
        <w:tc>
          <w:tcPr>
            <w:tcW w:w="1687" w:type="dxa"/>
            <w:vAlign w:val="center"/>
          </w:tcPr>
          <w:p w14:paraId="062F2FA0"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5.58 x 10</w:t>
            </w:r>
            <w:r w:rsidRPr="000A0241">
              <w:rPr>
                <w:rFonts w:ascii="Arial" w:hAnsi="Arial" w:cs="Arial"/>
                <w:sz w:val="22"/>
                <w:szCs w:val="22"/>
                <w:vertAlign w:val="superscript"/>
              </w:rPr>
              <w:t>-5</w:t>
            </w:r>
          </w:p>
        </w:tc>
        <w:tc>
          <w:tcPr>
            <w:tcW w:w="2297" w:type="dxa"/>
            <w:vAlign w:val="center"/>
          </w:tcPr>
          <w:p w14:paraId="5B42C8C4"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0.107 – 18.2 × 10</w:t>
            </w:r>
            <w:r w:rsidRPr="000A0241">
              <w:rPr>
                <w:rFonts w:ascii="Arial" w:hAnsi="Arial" w:cs="Arial"/>
                <w:sz w:val="22"/>
                <w:szCs w:val="22"/>
                <w:vertAlign w:val="superscript"/>
              </w:rPr>
              <w:t>−5</w:t>
            </w:r>
            <w:r w:rsidRPr="000A0241">
              <w:rPr>
                <w:rFonts w:ascii="Arial" w:hAnsi="Arial" w:cs="Arial"/>
                <w:sz w:val="22"/>
                <w:szCs w:val="22"/>
              </w:rPr>
              <w:t xml:space="preserve"> </w:t>
            </w:r>
            <w:r w:rsidRPr="000A0241">
              <w:rPr>
                <w:rFonts w:ascii="Arial" w:hAnsi="Arial" w:cs="Arial"/>
                <w:sz w:val="22"/>
                <w:szCs w:val="22"/>
                <w:vertAlign w:val="superscript"/>
              </w:rPr>
              <w:t>(a)</w:t>
            </w:r>
          </w:p>
        </w:tc>
      </w:tr>
      <w:tr w:rsidR="00082E61" w:rsidRPr="000A0241" w14:paraId="6FF33202" w14:textId="77777777" w:rsidTr="009860BA">
        <w:trPr>
          <w:jc w:val="center"/>
        </w:trPr>
        <w:tc>
          <w:tcPr>
            <w:tcW w:w="0" w:type="auto"/>
            <w:vAlign w:val="center"/>
          </w:tcPr>
          <w:p w14:paraId="6E508DDE" w14:textId="77777777" w:rsidR="00082E61" w:rsidRPr="000A0241" w:rsidRDefault="00082E61" w:rsidP="009860BA">
            <w:pPr>
              <w:spacing w:before="40"/>
              <w:rPr>
                <w:rFonts w:ascii="Arial" w:hAnsi="Arial" w:cs="Arial"/>
                <w:sz w:val="22"/>
                <w:szCs w:val="22"/>
              </w:rPr>
            </w:pPr>
            <w:r w:rsidRPr="000A0241">
              <w:rPr>
                <w:rFonts w:ascii="Arial" w:hAnsi="Arial" w:cs="Arial"/>
                <w:sz w:val="22"/>
                <w:szCs w:val="22"/>
              </w:rPr>
              <w:t>Photosynthetic efficiency</w:t>
            </w:r>
          </w:p>
        </w:tc>
        <w:tc>
          <w:tcPr>
            <w:tcW w:w="1706" w:type="dxa"/>
            <w:vAlign w:val="center"/>
          </w:tcPr>
          <w:p w14:paraId="235F74B6"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m</w:t>
            </w:r>
            <w:r w:rsidRPr="000A0241">
              <w:rPr>
                <w:rFonts w:ascii="Arial" w:hAnsi="Arial" w:cs="Arial"/>
                <w:sz w:val="22"/>
                <w:szCs w:val="22"/>
                <w:vertAlign w:val="superscript"/>
              </w:rPr>
              <w:t>2</w:t>
            </w:r>
            <w:r w:rsidRPr="000A0241">
              <w:rPr>
                <w:rFonts w:ascii="Arial" w:hAnsi="Arial" w:cs="Arial"/>
                <w:sz w:val="22"/>
                <w:szCs w:val="22"/>
              </w:rPr>
              <w:t xml:space="preserve"> s (µ</w:t>
            </w:r>
            <w:r w:rsidRPr="000A0241">
              <w:rPr>
                <w:sz w:val="22"/>
                <w:szCs w:val="22"/>
              </w:rPr>
              <w:t xml:space="preserve"> </w:t>
            </w:r>
            <w:r w:rsidRPr="000A0241">
              <w:rPr>
                <w:rFonts w:ascii="Arial" w:hAnsi="Arial" w:cs="Arial"/>
                <w:sz w:val="22"/>
                <w:szCs w:val="22"/>
              </w:rPr>
              <w:t xml:space="preserve">mol photons </w:t>
            </w:r>
            <w:proofErr w:type="gramStart"/>
            <w:r w:rsidRPr="000A0241">
              <w:rPr>
                <w:rFonts w:ascii="Arial" w:hAnsi="Arial" w:cs="Arial"/>
                <w:sz w:val="22"/>
                <w:szCs w:val="22"/>
              </w:rPr>
              <w:t>s)</w:t>
            </w:r>
            <w:r w:rsidRPr="000A0241">
              <w:rPr>
                <w:rFonts w:ascii="Arial" w:hAnsi="Arial" w:cs="Arial"/>
                <w:sz w:val="22"/>
                <w:szCs w:val="22"/>
                <w:vertAlign w:val="superscript"/>
              </w:rPr>
              <w:t>−</w:t>
            </w:r>
            <w:proofErr w:type="gramEnd"/>
            <w:r w:rsidRPr="000A0241">
              <w:rPr>
                <w:rFonts w:ascii="Arial" w:hAnsi="Arial" w:cs="Arial"/>
                <w:sz w:val="22"/>
                <w:szCs w:val="22"/>
                <w:vertAlign w:val="superscript"/>
              </w:rPr>
              <w:t>1</w:t>
            </w:r>
          </w:p>
        </w:tc>
        <w:tc>
          <w:tcPr>
            <w:tcW w:w="1687" w:type="dxa"/>
            <w:vAlign w:val="center"/>
          </w:tcPr>
          <w:p w14:paraId="200D35B9"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4.11 x 10</w:t>
            </w:r>
            <w:r w:rsidRPr="000A0241">
              <w:rPr>
                <w:rFonts w:ascii="Arial" w:hAnsi="Arial" w:cs="Arial"/>
                <w:sz w:val="22"/>
                <w:szCs w:val="22"/>
                <w:vertAlign w:val="superscript"/>
              </w:rPr>
              <w:t>-7</w:t>
            </w:r>
          </w:p>
        </w:tc>
        <w:tc>
          <w:tcPr>
            <w:tcW w:w="2297" w:type="dxa"/>
            <w:vAlign w:val="center"/>
          </w:tcPr>
          <w:p w14:paraId="35D2B840"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1.67 – 6.94 x 10</w:t>
            </w:r>
            <w:r w:rsidRPr="000A0241">
              <w:rPr>
                <w:rFonts w:ascii="Arial" w:hAnsi="Arial" w:cs="Arial"/>
                <w:sz w:val="22"/>
                <w:szCs w:val="22"/>
                <w:vertAlign w:val="superscript"/>
              </w:rPr>
              <w:t>-7 (a)</w:t>
            </w:r>
          </w:p>
        </w:tc>
      </w:tr>
      <w:tr w:rsidR="00082E61" w:rsidRPr="000A0241" w14:paraId="1B75A499" w14:textId="77777777" w:rsidTr="009860BA">
        <w:trPr>
          <w:jc w:val="center"/>
        </w:trPr>
        <w:tc>
          <w:tcPr>
            <w:tcW w:w="0" w:type="auto"/>
            <w:vAlign w:val="center"/>
          </w:tcPr>
          <w:p w14:paraId="5FD270DC" w14:textId="77777777" w:rsidR="00082E61" w:rsidRPr="000A0241" w:rsidRDefault="00082E61" w:rsidP="009860BA">
            <w:pPr>
              <w:spacing w:before="40"/>
              <w:rPr>
                <w:rFonts w:ascii="Arial" w:hAnsi="Arial" w:cs="Arial"/>
                <w:sz w:val="22"/>
                <w:szCs w:val="22"/>
              </w:rPr>
            </w:pPr>
            <w:r w:rsidRPr="000A0241">
              <w:rPr>
                <w:rFonts w:ascii="Arial" w:hAnsi="Arial" w:cs="Arial"/>
                <w:sz w:val="22"/>
                <w:szCs w:val="22"/>
              </w:rPr>
              <w:t>Phytoplankton mortality rate constant</w:t>
            </w:r>
          </w:p>
        </w:tc>
        <w:tc>
          <w:tcPr>
            <w:tcW w:w="1706" w:type="dxa"/>
            <w:vAlign w:val="center"/>
          </w:tcPr>
          <w:p w14:paraId="274084C3"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s</w:t>
            </w:r>
            <w:r w:rsidRPr="000A0241">
              <w:rPr>
                <w:rFonts w:ascii="Arial" w:hAnsi="Arial" w:cs="Arial"/>
                <w:sz w:val="22"/>
                <w:szCs w:val="22"/>
                <w:vertAlign w:val="superscript"/>
              </w:rPr>
              <w:t>−1</w:t>
            </w:r>
          </w:p>
        </w:tc>
        <w:tc>
          <w:tcPr>
            <w:tcW w:w="1687" w:type="dxa"/>
            <w:vAlign w:val="center"/>
          </w:tcPr>
          <w:p w14:paraId="7131E256"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37 x 10</w:t>
            </w:r>
            <w:r w:rsidRPr="000A0241">
              <w:rPr>
                <w:rFonts w:ascii="Arial" w:hAnsi="Arial" w:cs="Arial"/>
                <w:sz w:val="22"/>
                <w:szCs w:val="22"/>
                <w:vertAlign w:val="superscript"/>
              </w:rPr>
              <w:t>-8</w:t>
            </w:r>
          </w:p>
        </w:tc>
        <w:tc>
          <w:tcPr>
            <w:tcW w:w="2297" w:type="dxa"/>
            <w:vAlign w:val="center"/>
          </w:tcPr>
          <w:p w14:paraId="21C4F19C"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23 – 350 x 10</w:t>
            </w:r>
            <w:r w:rsidRPr="000A0241">
              <w:rPr>
                <w:rFonts w:ascii="Arial" w:hAnsi="Arial" w:cs="Arial"/>
                <w:sz w:val="22"/>
                <w:szCs w:val="22"/>
                <w:vertAlign w:val="superscript"/>
              </w:rPr>
              <w:t>-8 (a)</w:t>
            </w:r>
          </w:p>
        </w:tc>
      </w:tr>
      <w:tr w:rsidR="00082E61" w:rsidRPr="000A0241" w14:paraId="5BCE12F4" w14:textId="77777777" w:rsidTr="009860BA">
        <w:trPr>
          <w:jc w:val="center"/>
        </w:trPr>
        <w:tc>
          <w:tcPr>
            <w:tcW w:w="0" w:type="auto"/>
            <w:vAlign w:val="center"/>
          </w:tcPr>
          <w:p w14:paraId="0B383A88" w14:textId="77777777" w:rsidR="00082E61" w:rsidRPr="000A0241" w:rsidRDefault="00082E61" w:rsidP="009860BA">
            <w:pPr>
              <w:spacing w:before="40"/>
              <w:rPr>
                <w:rFonts w:ascii="Arial" w:hAnsi="Arial" w:cs="Arial"/>
                <w:sz w:val="22"/>
                <w:szCs w:val="22"/>
              </w:rPr>
            </w:pPr>
            <w:r w:rsidRPr="000A0241">
              <w:rPr>
                <w:rFonts w:ascii="Arial" w:hAnsi="Arial" w:cs="Arial"/>
                <w:sz w:val="22"/>
                <w:szCs w:val="22"/>
              </w:rPr>
              <w:t>Phytoplankton growth constant</w:t>
            </w:r>
          </w:p>
        </w:tc>
        <w:tc>
          <w:tcPr>
            <w:tcW w:w="1706" w:type="dxa"/>
            <w:vAlign w:val="center"/>
          </w:tcPr>
          <w:p w14:paraId="072A28AF"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w:t>
            </w:r>
          </w:p>
        </w:tc>
        <w:tc>
          <w:tcPr>
            <w:tcW w:w="1687" w:type="dxa"/>
            <w:vAlign w:val="center"/>
          </w:tcPr>
          <w:p w14:paraId="77677AAB"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0.3</w:t>
            </w:r>
          </w:p>
        </w:tc>
        <w:tc>
          <w:tcPr>
            <w:tcW w:w="2297" w:type="dxa"/>
            <w:vAlign w:val="center"/>
          </w:tcPr>
          <w:p w14:paraId="57D9DBB2"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0.1   - 0.5</w:t>
            </w:r>
            <w:r w:rsidRPr="000A0241">
              <w:rPr>
                <w:rFonts w:ascii="Arial" w:hAnsi="Arial" w:cs="Arial"/>
                <w:sz w:val="22"/>
                <w:szCs w:val="22"/>
                <w:vertAlign w:val="superscript"/>
              </w:rPr>
              <w:t>(a)</w:t>
            </w:r>
          </w:p>
        </w:tc>
      </w:tr>
      <w:tr w:rsidR="00082E61" w:rsidRPr="000A0241" w14:paraId="740F766D" w14:textId="77777777" w:rsidTr="009860BA">
        <w:trPr>
          <w:jc w:val="center"/>
        </w:trPr>
        <w:tc>
          <w:tcPr>
            <w:tcW w:w="0" w:type="auto"/>
            <w:vAlign w:val="center"/>
          </w:tcPr>
          <w:p w14:paraId="0BBA0BF0" w14:textId="77777777" w:rsidR="00082E61" w:rsidRPr="000A0241" w:rsidRDefault="00082E61" w:rsidP="009860BA">
            <w:pPr>
              <w:spacing w:before="40"/>
              <w:rPr>
                <w:rFonts w:ascii="Arial" w:hAnsi="Arial" w:cs="Arial"/>
                <w:sz w:val="22"/>
                <w:szCs w:val="22"/>
              </w:rPr>
            </w:pPr>
            <w:r w:rsidRPr="000A0241">
              <w:rPr>
                <w:rFonts w:ascii="Arial" w:hAnsi="Arial" w:cs="Arial"/>
                <w:sz w:val="22"/>
                <w:szCs w:val="22"/>
              </w:rPr>
              <w:t>Aerobic degradation rate constant</w:t>
            </w:r>
          </w:p>
        </w:tc>
        <w:tc>
          <w:tcPr>
            <w:tcW w:w="1706" w:type="dxa"/>
            <w:vAlign w:val="center"/>
          </w:tcPr>
          <w:p w14:paraId="7B689BE0"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µ</w:t>
            </w:r>
            <w:proofErr w:type="spellStart"/>
            <w:r w:rsidRPr="000A0241">
              <w:rPr>
                <w:rFonts w:ascii="Arial" w:hAnsi="Arial" w:cs="Arial"/>
                <w:sz w:val="22"/>
                <w:szCs w:val="22"/>
              </w:rPr>
              <w:t>molC</w:t>
            </w:r>
            <w:proofErr w:type="spellEnd"/>
            <w:r w:rsidRPr="000A0241">
              <w:rPr>
                <w:rFonts w:ascii="Arial" w:hAnsi="Arial" w:cs="Arial"/>
                <w:sz w:val="22"/>
                <w:szCs w:val="22"/>
              </w:rPr>
              <w:t xml:space="preserve"> L</w:t>
            </w:r>
            <w:r w:rsidRPr="000A0241">
              <w:rPr>
                <w:rFonts w:ascii="Arial" w:hAnsi="Arial" w:cs="Arial"/>
                <w:sz w:val="22"/>
                <w:szCs w:val="22"/>
                <w:vertAlign w:val="superscript"/>
              </w:rPr>
              <w:t>-1</w:t>
            </w:r>
            <w:r w:rsidRPr="000A0241">
              <w:rPr>
                <w:rFonts w:ascii="Arial" w:hAnsi="Arial" w:cs="Arial"/>
                <w:sz w:val="22"/>
                <w:szCs w:val="22"/>
              </w:rPr>
              <w:t>s</w:t>
            </w:r>
            <w:r w:rsidRPr="000A0241">
              <w:rPr>
                <w:rFonts w:ascii="Arial" w:hAnsi="Arial" w:cs="Arial"/>
                <w:sz w:val="22"/>
                <w:szCs w:val="22"/>
                <w:vertAlign w:val="superscript"/>
              </w:rPr>
              <w:t>−1</w:t>
            </w:r>
          </w:p>
        </w:tc>
        <w:tc>
          <w:tcPr>
            <w:tcW w:w="1687" w:type="dxa"/>
            <w:vAlign w:val="center"/>
          </w:tcPr>
          <w:p w14:paraId="7730C839"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1.44 x 10</w:t>
            </w:r>
            <w:r w:rsidRPr="000A0241">
              <w:rPr>
                <w:rFonts w:ascii="Arial" w:hAnsi="Arial" w:cs="Arial"/>
                <w:sz w:val="22"/>
                <w:szCs w:val="22"/>
                <w:vertAlign w:val="superscript"/>
              </w:rPr>
              <w:t>-4</w:t>
            </w:r>
          </w:p>
        </w:tc>
        <w:tc>
          <w:tcPr>
            <w:tcW w:w="2297" w:type="dxa"/>
            <w:vAlign w:val="center"/>
          </w:tcPr>
          <w:p w14:paraId="257E299F"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 xml:space="preserve">0.8 – </w:t>
            </w:r>
            <w:proofErr w:type="gramStart"/>
            <w:r w:rsidRPr="000A0241">
              <w:rPr>
                <w:rFonts w:ascii="Arial" w:hAnsi="Arial" w:cs="Arial"/>
                <w:sz w:val="22"/>
                <w:szCs w:val="22"/>
              </w:rPr>
              <w:t>9.26  x</w:t>
            </w:r>
            <w:proofErr w:type="gramEnd"/>
            <w:r w:rsidRPr="000A0241">
              <w:rPr>
                <w:rFonts w:ascii="Arial" w:hAnsi="Arial" w:cs="Arial"/>
                <w:sz w:val="22"/>
                <w:szCs w:val="22"/>
              </w:rPr>
              <w:t xml:space="preserve"> 10</w:t>
            </w:r>
            <w:r w:rsidRPr="000A0241">
              <w:rPr>
                <w:rFonts w:ascii="Arial" w:hAnsi="Arial" w:cs="Arial"/>
                <w:sz w:val="22"/>
                <w:szCs w:val="22"/>
                <w:vertAlign w:val="superscript"/>
              </w:rPr>
              <w:t>-4 (a)</w:t>
            </w:r>
          </w:p>
        </w:tc>
      </w:tr>
      <w:tr w:rsidR="00082E61" w:rsidRPr="000A0241" w14:paraId="2E82213C" w14:textId="77777777" w:rsidTr="009860BA">
        <w:trPr>
          <w:jc w:val="center"/>
        </w:trPr>
        <w:tc>
          <w:tcPr>
            <w:tcW w:w="0" w:type="auto"/>
            <w:vAlign w:val="center"/>
          </w:tcPr>
          <w:p w14:paraId="103F203F" w14:textId="77777777" w:rsidR="00082E61" w:rsidRPr="000A0241" w:rsidRDefault="00082E61" w:rsidP="009860BA">
            <w:pPr>
              <w:spacing w:before="40"/>
              <w:rPr>
                <w:rFonts w:ascii="Arial" w:hAnsi="Arial" w:cs="Arial"/>
                <w:sz w:val="22"/>
                <w:szCs w:val="22"/>
              </w:rPr>
            </w:pPr>
            <w:r w:rsidRPr="000A0241">
              <w:rPr>
                <w:rFonts w:ascii="Arial" w:hAnsi="Arial" w:cs="Arial"/>
                <w:sz w:val="22"/>
                <w:szCs w:val="22"/>
              </w:rPr>
              <w:t>Denitriﬁcation rate constant</w:t>
            </w:r>
          </w:p>
        </w:tc>
        <w:tc>
          <w:tcPr>
            <w:tcW w:w="1706" w:type="dxa"/>
            <w:vAlign w:val="center"/>
          </w:tcPr>
          <w:p w14:paraId="60C4D30C"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µ</w:t>
            </w:r>
            <w:proofErr w:type="spellStart"/>
            <w:r w:rsidRPr="000A0241">
              <w:rPr>
                <w:rFonts w:ascii="Arial" w:hAnsi="Arial" w:cs="Arial"/>
                <w:sz w:val="22"/>
                <w:szCs w:val="22"/>
              </w:rPr>
              <w:t>molC</w:t>
            </w:r>
            <w:proofErr w:type="spellEnd"/>
            <w:r w:rsidRPr="000A0241">
              <w:rPr>
                <w:rFonts w:ascii="Arial" w:hAnsi="Arial" w:cs="Arial"/>
                <w:sz w:val="22"/>
                <w:szCs w:val="22"/>
              </w:rPr>
              <w:t xml:space="preserve"> L</w:t>
            </w:r>
            <w:r w:rsidRPr="000A0241">
              <w:rPr>
                <w:rFonts w:ascii="Arial" w:hAnsi="Arial" w:cs="Arial"/>
                <w:sz w:val="22"/>
                <w:szCs w:val="22"/>
                <w:vertAlign w:val="superscript"/>
              </w:rPr>
              <w:t>-1</w:t>
            </w:r>
            <w:r w:rsidRPr="000A0241">
              <w:rPr>
                <w:rFonts w:ascii="Arial" w:hAnsi="Arial" w:cs="Arial"/>
                <w:sz w:val="22"/>
                <w:szCs w:val="22"/>
              </w:rPr>
              <w:t>s</w:t>
            </w:r>
            <w:r w:rsidRPr="000A0241">
              <w:rPr>
                <w:rFonts w:ascii="Arial" w:hAnsi="Arial" w:cs="Arial"/>
                <w:sz w:val="22"/>
                <w:szCs w:val="22"/>
                <w:vertAlign w:val="superscript"/>
              </w:rPr>
              <w:t>−1</w:t>
            </w:r>
          </w:p>
        </w:tc>
        <w:tc>
          <w:tcPr>
            <w:tcW w:w="1687" w:type="dxa"/>
            <w:vAlign w:val="center"/>
          </w:tcPr>
          <w:p w14:paraId="79E15C1B"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5.00 x 10</w:t>
            </w:r>
            <w:r w:rsidRPr="000A0241">
              <w:rPr>
                <w:rFonts w:ascii="Arial" w:hAnsi="Arial" w:cs="Arial"/>
                <w:sz w:val="22"/>
                <w:szCs w:val="22"/>
                <w:vertAlign w:val="superscript"/>
              </w:rPr>
              <w:t>-4</w:t>
            </w:r>
          </w:p>
        </w:tc>
        <w:tc>
          <w:tcPr>
            <w:tcW w:w="2297" w:type="dxa"/>
            <w:vAlign w:val="center"/>
          </w:tcPr>
          <w:p w14:paraId="55977576"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0.26 – 522 x 10</w:t>
            </w:r>
            <w:r w:rsidRPr="000A0241">
              <w:rPr>
                <w:rFonts w:ascii="Arial" w:hAnsi="Arial" w:cs="Arial"/>
                <w:sz w:val="22"/>
                <w:szCs w:val="22"/>
                <w:vertAlign w:val="superscript"/>
              </w:rPr>
              <w:t>-4 (a)</w:t>
            </w:r>
          </w:p>
        </w:tc>
      </w:tr>
      <w:tr w:rsidR="00082E61" w:rsidRPr="000A0241" w14:paraId="4653EE32" w14:textId="77777777" w:rsidTr="009860BA">
        <w:trPr>
          <w:jc w:val="center"/>
        </w:trPr>
        <w:tc>
          <w:tcPr>
            <w:tcW w:w="0" w:type="auto"/>
            <w:tcBorders>
              <w:bottom w:val="single" w:sz="4" w:space="0" w:color="auto"/>
            </w:tcBorders>
            <w:vAlign w:val="center"/>
          </w:tcPr>
          <w:p w14:paraId="5141CDD1" w14:textId="77777777" w:rsidR="00082E61" w:rsidRPr="000A0241" w:rsidRDefault="00082E61" w:rsidP="009860BA">
            <w:pPr>
              <w:spacing w:before="40"/>
              <w:rPr>
                <w:rFonts w:ascii="Arial" w:hAnsi="Arial" w:cs="Arial"/>
                <w:sz w:val="22"/>
                <w:szCs w:val="22"/>
              </w:rPr>
            </w:pPr>
            <w:r w:rsidRPr="000A0241">
              <w:rPr>
                <w:rFonts w:ascii="Arial" w:hAnsi="Arial" w:cs="Arial"/>
                <w:sz w:val="22"/>
                <w:szCs w:val="22"/>
              </w:rPr>
              <w:t>Nitriﬁcation rate constant</w:t>
            </w:r>
          </w:p>
        </w:tc>
        <w:tc>
          <w:tcPr>
            <w:tcW w:w="1706" w:type="dxa"/>
            <w:tcBorders>
              <w:bottom w:val="single" w:sz="4" w:space="0" w:color="auto"/>
            </w:tcBorders>
            <w:vAlign w:val="center"/>
          </w:tcPr>
          <w:p w14:paraId="6481AEA7"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µ</w:t>
            </w:r>
            <w:proofErr w:type="spellStart"/>
            <w:r w:rsidRPr="000A0241">
              <w:rPr>
                <w:rFonts w:ascii="Arial" w:hAnsi="Arial" w:cs="Arial"/>
                <w:sz w:val="22"/>
                <w:szCs w:val="22"/>
              </w:rPr>
              <w:t>molN</w:t>
            </w:r>
            <w:proofErr w:type="spellEnd"/>
            <w:r w:rsidRPr="000A0241">
              <w:rPr>
                <w:rFonts w:ascii="Arial" w:hAnsi="Arial" w:cs="Arial"/>
                <w:sz w:val="22"/>
                <w:szCs w:val="22"/>
              </w:rPr>
              <w:t xml:space="preserve"> L</w:t>
            </w:r>
            <w:r w:rsidRPr="000A0241">
              <w:rPr>
                <w:rFonts w:ascii="Arial" w:hAnsi="Arial" w:cs="Arial"/>
                <w:sz w:val="22"/>
                <w:szCs w:val="22"/>
                <w:vertAlign w:val="superscript"/>
              </w:rPr>
              <w:t>-1</w:t>
            </w:r>
            <w:r w:rsidRPr="000A0241">
              <w:rPr>
                <w:rFonts w:ascii="Arial" w:hAnsi="Arial" w:cs="Arial"/>
                <w:sz w:val="22"/>
                <w:szCs w:val="22"/>
              </w:rPr>
              <w:t>s</w:t>
            </w:r>
            <w:r w:rsidRPr="000A0241">
              <w:rPr>
                <w:rFonts w:ascii="Arial" w:hAnsi="Arial" w:cs="Arial"/>
                <w:sz w:val="22"/>
                <w:szCs w:val="22"/>
                <w:vertAlign w:val="superscript"/>
              </w:rPr>
              <w:t>−1</w:t>
            </w:r>
          </w:p>
        </w:tc>
        <w:tc>
          <w:tcPr>
            <w:tcW w:w="1687" w:type="dxa"/>
            <w:tcBorders>
              <w:bottom w:val="single" w:sz="4" w:space="0" w:color="auto"/>
            </w:tcBorders>
            <w:vAlign w:val="center"/>
          </w:tcPr>
          <w:p w14:paraId="5E1633CD"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4.62 x 10</w:t>
            </w:r>
            <w:r w:rsidRPr="000A0241">
              <w:rPr>
                <w:rFonts w:ascii="Arial" w:hAnsi="Arial" w:cs="Arial"/>
                <w:sz w:val="22"/>
                <w:szCs w:val="22"/>
                <w:vertAlign w:val="superscript"/>
              </w:rPr>
              <w:t>-4</w:t>
            </w:r>
          </w:p>
        </w:tc>
        <w:tc>
          <w:tcPr>
            <w:tcW w:w="2297" w:type="dxa"/>
            <w:vAlign w:val="center"/>
          </w:tcPr>
          <w:p w14:paraId="14CE3856"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0.106 – 21.7 x 10</w:t>
            </w:r>
            <w:r w:rsidRPr="000A0241">
              <w:rPr>
                <w:rFonts w:ascii="Arial" w:hAnsi="Arial" w:cs="Arial"/>
                <w:sz w:val="22"/>
                <w:szCs w:val="22"/>
                <w:vertAlign w:val="superscript"/>
              </w:rPr>
              <w:t>-4 (a)</w:t>
            </w:r>
          </w:p>
        </w:tc>
      </w:tr>
      <w:tr w:rsidR="00082E61" w:rsidRPr="000A0241" w14:paraId="3453EE1C" w14:textId="77777777" w:rsidTr="009860BA">
        <w:trPr>
          <w:jc w:val="center"/>
        </w:trPr>
        <w:tc>
          <w:tcPr>
            <w:tcW w:w="9019" w:type="dxa"/>
            <w:gridSpan w:val="4"/>
            <w:tcBorders>
              <w:top w:val="single" w:sz="4" w:space="0" w:color="auto"/>
            </w:tcBorders>
            <w:vAlign w:val="center"/>
          </w:tcPr>
          <w:p w14:paraId="1CE5BB6C" w14:textId="77777777" w:rsidR="00082E61" w:rsidRPr="000A0241" w:rsidRDefault="00082E61" w:rsidP="009860BA">
            <w:pPr>
              <w:spacing w:before="40"/>
              <w:jc w:val="both"/>
              <w:rPr>
                <w:rFonts w:ascii="Arial" w:hAnsi="Arial" w:cs="Arial"/>
                <w:sz w:val="22"/>
                <w:szCs w:val="22"/>
              </w:rPr>
            </w:pPr>
            <w:r w:rsidRPr="000A0241">
              <w:rPr>
                <w:rFonts w:ascii="Arial" w:hAnsi="Arial" w:cs="Arial"/>
                <w:b/>
                <w:bCs/>
                <w:sz w:val="22"/>
                <w:szCs w:val="22"/>
              </w:rPr>
              <w:t xml:space="preserve">Particle dynamics </w:t>
            </w:r>
          </w:p>
        </w:tc>
      </w:tr>
      <w:tr w:rsidR="00082E61" w:rsidRPr="000A0241" w14:paraId="15ACDD90" w14:textId="77777777" w:rsidTr="009860BA">
        <w:trPr>
          <w:jc w:val="center"/>
        </w:trPr>
        <w:tc>
          <w:tcPr>
            <w:tcW w:w="0" w:type="auto"/>
            <w:tcBorders>
              <w:top w:val="single" w:sz="4" w:space="0" w:color="auto"/>
            </w:tcBorders>
            <w:vAlign w:val="center"/>
          </w:tcPr>
          <w:p w14:paraId="12E273C7" w14:textId="77777777" w:rsidR="00082E61" w:rsidRPr="000A0241" w:rsidRDefault="00082E61" w:rsidP="009860BA">
            <w:pPr>
              <w:spacing w:before="40"/>
              <w:jc w:val="both"/>
              <w:rPr>
                <w:rFonts w:ascii="Arial" w:hAnsi="Arial" w:cs="Arial"/>
                <w:sz w:val="22"/>
                <w:szCs w:val="22"/>
              </w:rPr>
            </w:pPr>
            <w:r w:rsidRPr="000A0241">
              <w:rPr>
                <w:rFonts w:ascii="Arial" w:hAnsi="Arial" w:cs="Arial"/>
                <w:sz w:val="22"/>
                <w:szCs w:val="22"/>
              </w:rPr>
              <w:t xml:space="preserve">Critical shear stress for erosion and </w:t>
            </w:r>
            <w:proofErr w:type="gramStart"/>
            <w:r w:rsidRPr="000A0241">
              <w:rPr>
                <w:rFonts w:ascii="Arial" w:hAnsi="Arial" w:cs="Arial"/>
                <w:sz w:val="22"/>
                <w:szCs w:val="22"/>
              </w:rPr>
              <w:t>deposition :</w:t>
            </w:r>
            <w:proofErr w:type="gramEnd"/>
            <w:r w:rsidRPr="000A0241">
              <w:rPr>
                <w:rFonts w:ascii="Arial" w:hAnsi="Arial" w:cs="Arial"/>
                <w:sz w:val="22"/>
                <w:szCs w:val="22"/>
              </w:rPr>
              <w:t xml:space="preserve"> </w:t>
            </w:r>
          </w:p>
          <w:p w14:paraId="14805756" w14:textId="77777777" w:rsidR="00082E61" w:rsidRPr="000A0241" w:rsidRDefault="00082E61" w:rsidP="009860BA">
            <w:pPr>
              <w:spacing w:before="40"/>
              <w:jc w:val="both"/>
              <w:rPr>
                <w:rFonts w:ascii="Arial" w:hAnsi="Arial" w:cs="Arial"/>
                <w:sz w:val="22"/>
                <w:szCs w:val="22"/>
              </w:rPr>
            </w:pPr>
            <w:r w:rsidRPr="000A0241">
              <w:rPr>
                <w:rFonts w:ascii="Arial" w:hAnsi="Arial" w:cs="Arial"/>
                <w:sz w:val="22"/>
                <w:szCs w:val="22"/>
              </w:rPr>
              <w:t>km 0 – km 140; km 140 – estuary mouth</w:t>
            </w:r>
          </w:p>
        </w:tc>
        <w:tc>
          <w:tcPr>
            <w:tcW w:w="1706" w:type="dxa"/>
            <w:vAlign w:val="center"/>
          </w:tcPr>
          <w:p w14:paraId="1AA34102"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Newtons m</w:t>
            </w:r>
            <w:r w:rsidRPr="000A0241">
              <w:rPr>
                <w:rFonts w:ascii="Arial" w:hAnsi="Arial" w:cs="Arial"/>
                <w:sz w:val="22"/>
                <w:szCs w:val="22"/>
                <w:vertAlign w:val="superscript"/>
              </w:rPr>
              <w:t>−2</w:t>
            </w:r>
          </w:p>
        </w:tc>
        <w:tc>
          <w:tcPr>
            <w:tcW w:w="1687" w:type="dxa"/>
            <w:vAlign w:val="center"/>
          </w:tcPr>
          <w:p w14:paraId="04019723"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0.25; 0.6</w:t>
            </w:r>
          </w:p>
        </w:tc>
        <w:tc>
          <w:tcPr>
            <w:tcW w:w="2297" w:type="dxa"/>
            <w:vAlign w:val="center"/>
          </w:tcPr>
          <w:p w14:paraId="4C0FD00A" w14:textId="77777777" w:rsidR="00082E61" w:rsidRPr="000A0241" w:rsidRDefault="00082E61" w:rsidP="009860BA">
            <w:pPr>
              <w:spacing w:before="40"/>
              <w:jc w:val="center"/>
              <w:rPr>
                <w:rFonts w:ascii="Arial" w:hAnsi="Arial" w:cs="Arial"/>
                <w:sz w:val="22"/>
                <w:szCs w:val="22"/>
                <w:vertAlign w:val="superscript"/>
              </w:rPr>
            </w:pPr>
            <w:r w:rsidRPr="000A0241">
              <w:rPr>
                <w:rFonts w:ascii="Arial" w:hAnsi="Arial" w:cs="Arial"/>
                <w:sz w:val="22"/>
                <w:szCs w:val="22"/>
              </w:rPr>
              <w:t>0.17 – 0.6</w:t>
            </w:r>
            <w:r w:rsidRPr="000A0241">
              <w:rPr>
                <w:rFonts w:ascii="Arial" w:hAnsi="Arial" w:cs="Arial"/>
                <w:sz w:val="22"/>
                <w:szCs w:val="22"/>
                <w:vertAlign w:val="superscript"/>
              </w:rPr>
              <w:t>(b)</w:t>
            </w:r>
          </w:p>
        </w:tc>
      </w:tr>
      <w:tr w:rsidR="00082E61" w:rsidRPr="000A0241" w14:paraId="7BEF448E" w14:textId="77777777" w:rsidTr="009860BA">
        <w:trPr>
          <w:jc w:val="center"/>
        </w:trPr>
        <w:tc>
          <w:tcPr>
            <w:tcW w:w="0" w:type="auto"/>
            <w:vAlign w:val="center"/>
          </w:tcPr>
          <w:p w14:paraId="23BC8D32" w14:textId="77777777" w:rsidR="00082E61" w:rsidRPr="000A0241" w:rsidRDefault="00082E61" w:rsidP="009860BA">
            <w:pPr>
              <w:spacing w:before="40"/>
              <w:jc w:val="both"/>
              <w:rPr>
                <w:rFonts w:ascii="Arial" w:hAnsi="Arial" w:cs="Arial"/>
                <w:sz w:val="22"/>
                <w:szCs w:val="22"/>
              </w:rPr>
            </w:pPr>
            <w:r w:rsidRPr="000A0241">
              <w:rPr>
                <w:rFonts w:ascii="Arial" w:hAnsi="Arial" w:cs="Arial"/>
                <w:sz w:val="22"/>
                <w:szCs w:val="22"/>
              </w:rPr>
              <w:t xml:space="preserve">Erosion </w:t>
            </w:r>
            <w:proofErr w:type="gramStart"/>
            <w:r w:rsidRPr="000A0241">
              <w:rPr>
                <w:rFonts w:ascii="Arial" w:hAnsi="Arial" w:cs="Arial"/>
                <w:sz w:val="22"/>
                <w:szCs w:val="22"/>
              </w:rPr>
              <w:t>coefﬁcient :</w:t>
            </w:r>
            <w:proofErr w:type="gramEnd"/>
            <w:r w:rsidRPr="000A0241">
              <w:rPr>
                <w:rFonts w:ascii="Arial" w:hAnsi="Arial" w:cs="Arial"/>
                <w:sz w:val="22"/>
                <w:szCs w:val="22"/>
              </w:rPr>
              <w:t xml:space="preserve"> from km 0 – km 140 ; </w:t>
            </w:r>
          </w:p>
          <w:p w14:paraId="13816D44" w14:textId="77777777" w:rsidR="00082E61" w:rsidRPr="000A0241" w:rsidRDefault="00082E61" w:rsidP="009860BA">
            <w:pPr>
              <w:spacing w:before="40"/>
              <w:jc w:val="both"/>
              <w:rPr>
                <w:rFonts w:ascii="Arial" w:hAnsi="Arial" w:cs="Arial"/>
                <w:sz w:val="22"/>
                <w:szCs w:val="22"/>
              </w:rPr>
            </w:pPr>
            <w:r w:rsidRPr="000A0241">
              <w:rPr>
                <w:rFonts w:ascii="Arial" w:hAnsi="Arial" w:cs="Arial"/>
                <w:sz w:val="22"/>
                <w:szCs w:val="22"/>
              </w:rPr>
              <w:t>km 140 – estuary mouth</w:t>
            </w:r>
          </w:p>
        </w:tc>
        <w:tc>
          <w:tcPr>
            <w:tcW w:w="1706" w:type="dxa"/>
            <w:vAlign w:val="center"/>
          </w:tcPr>
          <w:p w14:paraId="674982B9" w14:textId="77777777" w:rsidR="00082E61" w:rsidRPr="000A0241" w:rsidRDefault="00082E61" w:rsidP="009860BA">
            <w:pPr>
              <w:spacing w:before="40"/>
              <w:jc w:val="center"/>
              <w:rPr>
                <w:rFonts w:ascii="Arial" w:hAnsi="Arial" w:cs="Arial"/>
                <w:sz w:val="22"/>
                <w:szCs w:val="22"/>
              </w:rPr>
            </w:pPr>
            <w:proofErr w:type="spellStart"/>
            <w:r w:rsidRPr="000A0241">
              <w:rPr>
                <w:rFonts w:ascii="Arial" w:hAnsi="Arial" w:cs="Arial"/>
                <w:sz w:val="22"/>
                <w:szCs w:val="22"/>
              </w:rPr>
              <w:t>kgTSS</w:t>
            </w:r>
            <w:proofErr w:type="spellEnd"/>
            <w:r w:rsidRPr="000A0241">
              <w:rPr>
                <w:rFonts w:ascii="Arial" w:hAnsi="Arial" w:cs="Arial"/>
                <w:sz w:val="22"/>
                <w:szCs w:val="22"/>
              </w:rPr>
              <w:t xml:space="preserve"> m</w:t>
            </w:r>
            <w:r w:rsidRPr="000A0241">
              <w:rPr>
                <w:rFonts w:ascii="Arial" w:hAnsi="Arial" w:cs="Arial"/>
                <w:sz w:val="22"/>
                <w:szCs w:val="22"/>
                <w:vertAlign w:val="superscript"/>
              </w:rPr>
              <w:t>−2</w:t>
            </w:r>
            <w:r w:rsidRPr="000A0241">
              <w:rPr>
                <w:rFonts w:ascii="Arial" w:hAnsi="Arial" w:cs="Arial"/>
                <w:sz w:val="22"/>
                <w:szCs w:val="22"/>
              </w:rPr>
              <w:t xml:space="preserve"> s</w:t>
            </w:r>
            <w:r w:rsidRPr="000A0241">
              <w:rPr>
                <w:rFonts w:ascii="Arial" w:hAnsi="Arial" w:cs="Arial"/>
                <w:sz w:val="22"/>
                <w:szCs w:val="22"/>
                <w:vertAlign w:val="superscript"/>
              </w:rPr>
              <w:t>−1</w:t>
            </w:r>
          </w:p>
        </w:tc>
        <w:tc>
          <w:tcPr>
            <w:tcW w:w="1687" w:type="dxa"/>
            <w:vAlign w:val="center"/>
          </w:tcPr>
          <w:p w14:paraId="0A28D5D1" w14:textId="77777777" w:rsidR="00082E61" w:rsidRPr="000A0241" w:rsidRDefault="00082E61" w:rsidP="009860BA">
            <w:pPr>
              <w:spacing w:before="40"/>
              <w:jc w:val="center"/>
              <w:rPr>
                <w:rFonts w:ascii="Arial" w:hAnsi="Arial" w:cs="Arial"/>
                <w:sz w:val="22"/>
                <w:szCs w:val="22"/>
                <w:vertAlign w:val="superscript"/>
              </w:rPr>
            </w:pPr>
            <w:r w:rsidRPr="000A0241">
              <w:rPr>
                <w:rFonts w:ascii="Arial" w:hAnsi="Arial" w:cs="Arial"/>
                <w:sz w:val="22"/>
                <w:szCs w:val="22"/>
              </w:rPr>
              <w:t>6.0 x 10</w:t>
            </w:r>
            <w:r w:rsidRPr="000A0241">
              <w:rPr>
                <w:rFonts w:ascii="Arial" w:hAnsi="Arial" w:cs="Arial"/>
                <w:sz w:val="22"/>
                <w:szCs w:val="22"/>
                <w:vertAlign w:val="superscript"/>
              </w:rPr>
              <w:t>-6</w:t>
            </w:r>
          </w:p>
          <w:p w14:paraId="5B9F67E6"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1.0 x 10</w:t>
            </w:r>
            <w:r w:rsidRPr="000A0241">
              <w:rPr>
                <w:rFonts w:ascii="Arial" w:hAnsi="Arial" w:cs="Arial"/>
                <w:sz w:val="22"/>
                <w:szCs w:val="22"/>
                <w:vertAlign w:val="superscript"/>
              </w:rPr>
              <w:t>-6</w:t>
            </w:r>
          </w:p>
        </w:tc>
        <w:tc>
          <w:tcPr>
            <w:tcW w:w="2297" w:type="dxa"/>
            <w:vAlign w:val="center"/>
          </w:tcPr>
          <w:p w14:paraId="0D61CC82"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1.0 – 5.0 x 10</w:t>
            </w:r>
            <w:r w:rsidRPr="000A0241">
              <w:rPr>
                <w:rFonts w:ascii="Arial" w:hAnsi="Arial" w:cs="Arial"/>
                <w:sz w:val="22"/>
                <w:szCs w:val="22"/>
                <w:vertAlign w:val="superscript"/>
              </w:rPr>
              <w:t>-6 (b)</w:t>
            </w:r>
          </w:p>
        </w:tc>
      </w:tr>
      <w:tr w:rsidR="00082E61" w:rsidRPr="000A0241" w14:paraId="1E56DF52" w14:textId="77777777" w:rsidTr="009860BA">
        <w:trPr>
          <w:jc w:val="center"/>
        </w:trPr>
        <w:tc>
          <w:tcPr>
            <w:tcW w:w="0" w:type="auto"/>
            <w:tcBorders>
              <w:bottom w:val="single" w:sz="4" w:space="0" w:color="auto"/>
            </w:tcBorders>
            <w:vAlign w:val="center"/>
          </w:tcPr>
          <w:p w14:paraId="2525F7AB" w14:textId="77777777" w:rsidR="00082E61" w:rsidRPr="000A0241" w:rsidRDefault="00082E61" w:rsidP="009860BA">
            <w:pPr>
              <w:spacing w:before="40"/>
              <w:jc w:val="both"/>
              <w:rPr>
                <w:rFonts w:ascii="Arial" w:hAnsi="Arial" w:cs="Arial"/>
                <w:sz w:val="22"/>
                <w:szCs w:val="22"/>
              </w:rPr>
            </w:pPr>
            <w:r w:rsidRPr="000A0241">
              <w:rPr>
                <w:rFonts w:ascii="Arial" w:hAnsi="Arial" w:cs="Arial"/>
                <w:sz w:val="22"/>
                <w:szCs w:val="22"/>
              </w:rPr>
              <w:t>Settling velocity</w:t>
            </w:r>
          </w:p>
        </w:tc>
        <w:tc>
          <w:tcPr>
            <w:tcW w:w="1706" w:type="dxa"/>
            <w:tcBorders>
              <w:bottom w:val="single" w:sz="4" w:space="0" w:color="auto"/>
            </w:tcBorders>
            <w:vAlign w:val="center"/>
          </w:tcPr>
          <w:p w14:paraId="3C9B2D2B"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m s</w:t>
            </w:r>
            <w:r w:rsidRPr="000A0241">
              <w:rPr>
                <w:rFonts w:ascii="Arial" w:hAnsi="Arial" w:cs="Arial"/>
                <w:sz w:val="22"/>
                <w:szCs w:val="22"/>
                <w:vertAlign w:val="superscript"/>
              </w:rPr>
              <w:t>-1</w:t>
            </w:r>
          </w:p>
        </w:tc>
        <w:tc>
          <w:tcPr>
            <w:tcW w:w="1687" w:type="dxa"/>
            <w:tcBorders>
              <w:bottom w:val="single" w:sz="4" w:space="0" w:color="auto"/>
            </w:tcBorders>
            <w:vAlign w:val="center"/>
          </w:tcPr>
          <w:p w14:paraId="2820A07E"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1.0 x 10</w:t>
            </w:r>
            <w:r w:rsidRPr="000A0241">
              <w:rPr>
                <w:rFonts w:ascii="Arial" w:hAnsi="Arial" w:cs="Arial"/>
                <w:sz w:val="22"/>
                <w:szCs w:val="22"/>
                <w:vertAlign w:val="superscript"/>
              </w:rPr>
              <w:t>-4</w:t>
            </w:r>
          </w:p>
        </w:tc>
        <w:tc>
          <w:tcPr>
            <w:tcW w:w="2297" w:type="dxa"/>
            <w:tcBorders>
              <w:bottom w:val="single" w:sz="4" w:space="0" w:color="auto"/>
            </w:tcBorders>
            <w:vAlign w:val="center"/>
          </w:tcPr>
          <w:p w14:paraId="06B9BB66" w14:textId="77777777" w:rsidR="00082E61" w:rsidRPr="000A0241" w:rsidRDefault="00082E61" w:rsidP="009860BA">
            <w:pPr>
              <w:spacing w:before="40"/>
              <w:jc w:val="center"/>
              <w:rPr>
                <w:rFonts w:ascii="Arial" w:hAnsi="Arial" w:cs="Arial"/>
                <w:sz w:val="22"/>
                <w:szCs w:val="22"/>
              </w:rPr>
            </w:pPr>
            <w:r w:rsidRPr="000A0241">
              <w:rPr>
                <w:rFonts w:ascii="Arial" w:hAnsi="Arial" w:cs="Arial"/>
                <w:sz w:val="22"/>
                <w:szCs w:val="22"/>
              </w:rPr>
              <w:t>0.1</w:t>
            </w:r>
            <w:r w:rsidRPr="000A0241">
              <w:rPr>
                <w:rFonts w:ascii="Arial" w:hAnsi="Arial" w:cs="Arial"/>
                <w:sz w:val="22"/>
                <w:szCs w:val="22"/>
                <w:vertAlign w:val="superscript"/>
              </w:rPr>
              <w:t xml:space="preserve"> </w:t>
            </w:r>
            <w:r w:rsidRPr="000A0241">
              <w:rPr>
                <w:rFonts w:ascii="Arial" w:hAnsi="Arial" w:cs="Arial"/>
                <w:sz w:val="22"/>
                <w:szCs w:val="22"/>
              </w:rPr>
              <w:t>- 10 x 10</w:t>
            </w:r>
            <w:r w:rsidRPr="000A0241">
              <w:rPr>
                <w:rFonts w:ascii="Arial" w:hAnsi="Arial" w:cs="Arial"/>
                <w:sz w:val="22"/>
                <w:szCs w:val="22"/>
                <w:vertAlign w:val="superscript"/>
              </w:rPr>
              <w:t>-4 (b, c)</w:t>
            </w:r>
          </w:p>
        </w:tc>
      </w:tr>
      <w:tr w:rsidR="00082E61" w:rsidRPr="000A0241" w14:paraId="7F997679" w14:textId="77777777" w:rsidTr="009860BA">
        <w:trPr>
          <w:jc w:val="center"/>
        </w:trPr>
        <w:tc>
          <w:tcPr>
            <w:tcW w:w="9019" w:type="dxa"/>
            <w:gridSpan w:val="4"/>
            <w:tcBorders>
              <w:top w:val="single" w:sz="4" w:space="0" w:color="auto"/>
            </w:tcBorders>
            <w:vAlign w:val="center"/>
          </w:tcPr>
          <w:p w14:paraId="05C20729" w14:textId="77777777" w:rsidR="00082E61" w:rsidRPr="000A0241" w:rsidRDefault="00082E61" w:rsidP="009860BA">
            <w:pPr>
              <w:jc w:val="both"/>
              <w:rPr>
                <w:rFonts w:ascii="Arial" w:hAnsi="Arial" w:cs="Arial"/>
                <w:sz w:val="22"/>
                <w:szCs w:val="22"/>
              </w:rPr>
            </w:pPr>
            <w:r w:rsidRPr="00082E61">
              <w:rPr>
                <w:rFonts w:ascii="Arial" w:hAnsi="Arial" w:cs="Arial"/>
                <w:sz w:val="22"/>
                <w:szCs w:val="22"/>
                <w:lang w:val="fr-FR"/>
              </w:rPr>
              <w:t xml:space="preserve">(a): </w:t>
            </w:r>
            <w:r w:rsidRPr="00082E61">
              <w:rPr>
                <w:rFonts w:ascii="Arial" w:hAnsi="Arial" w:cs="Arial"/>
                <w:bCs/>
                <w:sz w:val="22"/>
                <w:szCs w:val="22"/>
                <w:lang w:val="fr-FR"/>
              </w:rPr>
              <w:t xml:space="preserve">Volta et al., </w:t>
            </w:r>
            <w:r w:rsidRPr="000A0241">
              <w:rPr>
                <w:rFonts w:ascii="Arial" w:hAnsi="Arial" w:cs="Arial"/>
                <w:bCs/>
              </w:rPr>
              <w:fldChar w:fldCharType="begin" w:fldLock="1"/>
            </w:r>
            <w:r w:rsidRPr="00082E61">
              <w:rPr>
                <w:rFonts w:ascii="Arial" w:hAnsi="Arial" w:cs="Arial"/>
                <w:bCs/>
                <w:sz w:val="22"/>
                <w:szCs w:val="22"/>
                <w:lang w:val="fr-FR"/>
              </w:rPr>
              <w:instrText>ADDIN CSL_CITATION {"citationItems":[{"id":"ITEM-1","itemData":{"DOI":"10.5194/hess-20-991-2016","ISSN":"16077938","abstract":"This study applies the Carbon-Generic Estuary Model (C-GEM) modeling platform to simulate the estuarine biogeochemical dynamics - in particular the air-water CO2 exchange - in three idealized tidal estuaries characterized by increasing riverine influence, from a so-called \"marine estuary\" to a \"riverine estuary\". An intermediate case called \"mixed estuary\" is also considered. C-GEM uses a generic biogeochemical reaction network and a unique set of model parameters extracted from a comprehensive literature survey to perform steady-state simulations representing average conditions for temperate estuaries worldwide. Climate and boundary conditions are extracted from published global databases (e.g., World Ocean Atlas, GLORICH) and catchment model outputs (GlobalNEWS2). The whole-system biogeochemical indicators net ecosystem metabolism (NEM), C and N filtering capacities (FCTC and FCTN, respectively) and CO2 gas exchanges (FCO2) are calculated across the three idealized systems and are related to their main hydrodynamic and transport characteristics. A sensitivity analysis, which propagates the parameter uncertainties, is also carried out, followed by projections of changes in the biogeochemical indicators for the year 2050. Results show that the average C filtering capacities for baseline conditions are 40, 30 and 22 % for the marine, mixed and riverine estuary, respectively, while N filtering capacities, calculated in a similar fashion, range from 22 % for the marine estuary to 18 and 15 % for the mixed and the riverine estuaries. Sensitivity analysis performed by varying the rate constants for aerobic degradation, denitrification and nitrification over the range of values reported in the literature significantly widens these ranges for both C and N. Simulations for the year 2050 suggest that all estuaries will remain largely heterotrophic, although a slight improvement of the estuarine trophic status is predicted. In addition, our results suggest that, while the riverine and mixed systems will only marginally be affected by an increase in atmospheric pCO2, the marine estuary is likely to become a significant CO2 sink in its downstream section. In the decades to come, such a change in behavior might strengthen the overall CO2 sink of the estuary-coastal ocean continuum.","author":[{"dropping-particle":"","family":"Volta","given":"","non-dropping-particle":"","parse-names":false,"suffix":""},{"dropping-particle":"","family":"Gildas L.","given":"G.","non-dropping-particle":"","parse-names":false,"suffix":""},{"dropping-particle":"","family":"Arndt","given":"Sandra","non-dropping-particle":"","parse-names":false,"suffix":""},{"dropping-particle":"","family":"Regnier","given":"Pierre","non-dropping-particle":"","parse-names":false,"suffix":""}],"container-title":"Hydrol. Earth Syst. Sci.","id":"ITEM-1","issue":"3","issued":{"date-parts":[["2016"]]},"page":"991-1030","title":"Linking biogeochemistry to hydro-geometrical variability in tidal estuaries: A generic modeling approach","type":"article-journal","volume":"20"},"suppress-author":1,"uris":["http://www.mendeley.com/documents/?uuid=e41d3480-d9a7-4258-bfcc-2edffc0492bc"]}],"mendeley":{"formattedCitation":"(2016)","plainTextFormattedCitation":"(2016)","previouslyFormattedCitation":"(2016)"},"properties":{"noteIndex":0},"schema":"https://github.com/citation-style-language/schema/raw/master/csl-citation.json"}</w:instrText>
            </w:r>
            <w:r w:rsidRPr="000A0241">
              <w:rPr>
                <w:rFonts w:ascii="Arial" w:hAnsi="Arial" w:cs="Arial"/>
                <w:bCs/>
              </w:rPr>
              <w:fldChar w:fldCharType="separate"/>
            </w:r>
            <w:r w:rsidRPr="00082E61">
              <w:rPr>
                <w:rFonts w:ascii="Arial" w:hAnsi="Arial" w:cs="Arial"/>
                <w:bCs/>
                <w:sz w:val="22"/>
                <w:szCs w:val="22"/>
                <w:lang w:val="fr-FR"/>
              </w:rPr>
              <w:t>(2016)</w:t>
            </w:r>
            <w:r w:rsidRPr="000A0241">
              <w:rPr>
                <w:rFonts w:ascii="Arial" w:hAnsi="Arial" w:cs="Arial"/>
                <w:bCs/>
              </w:rPr>
              <w:fldChar w:fldCharType="end"/>
            </w:r>
            <w:r w:rsidRPr="00082E61">
              <w:rPr>
                <w:rFonts w:ascii="Arial" w:hAnsi="Arial" w:cs="Arial"/>
                <w:bCs/>
                <w:lang w:val="fr-FR"/>
              </w:rPr>
              <w:t xml:space="preserve"> ; </w:t>
            </w:r>
            <w:r w:rsidRPr="00082E61">
              <w:rPr>
                <w:rFonts w:ascii="Arial" w:hAnsi="Arial" w:cs="Arial"/>
                <w:bCs/>
                <w:sz w:val="22"/>
                <w:szCs w:val="22"/>
                <w:lang w:val="fr-FR"/>
              </w:rPr>
              <w:t xml:space="preserve">(b): </w:t>
            </w:r>
            <w:proofErr w:type="spellStart"/>
            <w:r w:rsidRPr="00082E61">
              <w:rPr>
                <w:rFonts w:ascii="Arial" w:hAnsi="Arial" w:cs="Arial"/>
                <w:bCs/>
                <w:sz w:val="22"/>
                <w:szCs w:val="22"/>
                <w:lang w:val="fr-FR"/>
              </w:rPr>
              <w:t>Letrung</w:t>
            </w:r>
            <w:proofErr w:type="spellEnd"/>
            <w:r w:rsidRPr="00082E61">
              <w:rPr>
                <w:rFonts w:ascii="Arial" w:hAnsi="Arial" w:cs="Arial"/>
                <w:bCs/>
                <w:sz w:val="22"/>
                <w:szCs w:val="22"/>
                <w:lang w:val="fr-FR"/>
              </w:rPr>
              <w:t xml:space="preserve"> et al., </w:t>
            </w:r>
            <w:r w:rsidRPr="000A0241">
              <w:rPr>
                <w:rFonts w:ascii="Arial" w:hAnsi="Arial" w:cs="Arial"/>
                <w:bCs/>
              </w:rPr>
              <w:fldChar w:fldCharType="begin" w:fldLock="1"/>
            </w:r>
            <w:r w:rsidRPr="00082E61">
              <w:rPr>
                <w:rFonts w:ascii="Arial" w:hAnsi="Arial" w:cs="Arial"/>
                <w:bCs/>
                <w:sz w:val="22"/>
                <w:szCs w:val="22"/>
                <w:lang w:val="fr-FR"/>
              </w:rPr>
              <w:instrText>ADDIN CSL_CITATION {"citationItems":[{"id":"ITEM-1","itemData":{"DOI":"10.6090/jarq.50.121","ISSN":"00213551","abstract":"One of the longest rivers in the world, the Mekong River flows through eight estuaries into the East Sea off Vietnam. In recent decades, the complex morphological evolution of the Mekong River Delta coast has affected the livelihoods of local people and the development of Vietnam's major economic area in the south. In this study, large-scale numerical models were created to simulate the long-term morphological processes along the Mekong River Delta coast. By using these models, key factors such as river currents, tides, sediment discharge, monsoon currents, waves, and salinity were calculated under various conditions, including seasonal variations of river flow, monsoon surface sea currents, and waves. The results show that the river flow rate determines erosion and deposition in the river. Furthermore, the river current combined with tidal current governs the development of narrow passages and islets. The effect of the interaction between the monsoon current and waves on the morphological processes of the coastline is significant. The monsoon current plays a major role in changing the shoreline, whereas wave action is a secondary factor that intensifies shoreline erosion, which is primarily influenced by sea current.","author":[{"dropping-particle":"","family":"Le","given":"Thanh Trung","non-dropping-particle":"","parse-nam</w:instrText>
            </w:r>
            <w:r w:rsidRPr="000A0241">
              <w:rPr>
                <w:rFonts w:ascii="Arial" w:hAnsi="Arial" w:cs="Arial"/>
                <w:bCs/>
                <w:sz w:val="22"/>
                <w:szCs w:val="22"/>
              </w:rPr>
              <w:instrText>es":false,"suffix":""},{"dropping-particle":"","family":"Ngoc","given":"Trieu Anh","non-dropping-particle":"","parse-names":false,"suffix":""},{"dropping-particle":"","family":"Hiramatsu","given":"Kazuaki","non-dropping-particle":"","parse-names":false,"suffix":""}],"container-title":"Japan Agric. Res. Q.","id":"ITEM-1","issue":"2","issued":{"date-parts":[["2016"]]},"page":"121-133","title":"Effect of the interaction between monsoon currents and waves on the morphological processes along the mekong river delta coast","type":"article-journal","volume":"50"},"suppress-author":1,"uris":["http://www.mendeley.com/documents/?uuid=cca7c989-e6b7-4556-aca5-cc47ced833d2"]}],"mendeley":{"formattedCitation":"(2016)","plainTextFormattedCitation":"(2016)","previouslyFormattedCitation":"(2016)"},"properties":{"noteIndex":0},"schema":"https://github.com/citation-style-language/schema/raw/master/csl-citation.json"}</w:instrText>
            </w:r>
            <w:r w:rsidRPr="000A0241">
              <w:rPr>
                <w:rFonts w:ascii="Arial" w:hAnsi="Arial" w:cs="Arial"/>
                <w:bCs/>
              </w:rPr>
              <w:fldChar w:fldCharType="separate"/>
            </w:r>
            <w:r w:rsidRPr="000A0241">
              <w:rPr>
                <w:rFonts w:ascii="Arial" w:hAnsi="Arial" w:cs="Arial"/>
                <w:bCs/>
                <w:sz w:val="22"/>
                <w:szCs w:val="22"/>
              </w:rPr>
              <w:t>(2016)</w:t>
            </w:r>
            <w:r w:rsidRPr="000A0241">
              <w:rPr>
                <w:rFonts w:ascii="Arial" w:hAnsi="Arial" w:cs="Arial"/>
                <w:bCs/>
              </w:rPr>
              <w:fldChar w:fldCharType="end"/>
            </w:r>
            <w:r w:rsidRPr="000A0241">
              <w:rPr>
                <w:rFonts w:ascii="Arial" w:hAnsi="Arial" w:cs="Arial"/>
                <w:bCs/>
              </w:rPr>
              <w:t xml:space="preserve"> ; </w:t>
            </w:r>
            <w:r w:rsidRPr="000A0241">
              <w:rPr>
                <w:rFonts w:ascii="Arial" w:hAnsi="Arial" w:cs="Arial"/>
                <w:sz w:val="22"/>
                <w:szCs w:val="22"/>
              </w:rPr>
              <w:t xml:space="preserve">(c): Le et al., </w:t>
            </w:r>
            <w:r w:rsidRPr="000A0241">
              <w:rPr>
                <w:rFonts w:ascii="Arial" w:hAnsi="Arial" w:cs="Arial"/>
              </w:rPr>
              <w:fldChar w:fldCharType="begin" w:fldLock="1"/>
            </w:r>
            <w:r w:rsidRPr="000A0241">
              <w:rPr>
                <w:rFonts w:ascii="Arial" w:hAnsi="Arial" w:cs="Arial"/>
                <w:sz w:val="22"/>
                <w:szCs w:val="22"/>
              </w:rPr>
              <w:instrText>ADDIN CSL_CITATION {"citationItems":[{"id":"ITEM-1","itemData":{"DOI":"10.1016/j.ecss.2019.106522","ISSN":"02727714","abstract":"The Mekong river is one of the largest rivers in the world, which flows through six countries of Southeast Asia (China, Myanmar, Laos, Thailand, Cambodia and Vietnam). Its hydro-sedimentary regime is changing rapidly, as a consequence of a regional shift of land use (agriculture, road, etc.), damming, sand mining and climate changes, among others. This study assesses the behavior of particles transported in suspension in the Lower Mekong River (LMR), along approximately 1700 km from fluvial to estuarine environments. Suspended sediment properties were estimated, simultaneously with hydrodynamic conditions, during three field campaigns. In addition, further investigations were performed in the laboratory to assess the structures of particles (flocculated or not), their capacity to flocculate (and the impacts on siltation), under a wide range of sediment concentration (20–30,000 mg.L−1). This study confirms that suspended sediment transported in the LMR are predominantly (75% by volume) flocculi (or freshly eroded soils aggregates), with median aggregated particle size in the range 10–20 μm and median settling velocity of the order of 0.01–0.1 mm s−1. These flocculi are robust under the hydrodynamic conditions (turbulence and suspended sediment concentration – SSC) existing in the LMR. Laboratory investigations reveal the existence of a threshold sediment concentration (400 mg.L−1), beyond which flocculation and sedimentation increase of orders of magnitudes. Thus, concentration that exceeds this threshold might promote the formation of so-called fluid mud layers. Because of the nonlinear response of flocculation and sedimentation with SSC and considering the ongoing changes at a regional scale in the LMR, higher occurrence of fluid mud layers in the fluvial upstream waterbodies might be anticipated, and a lower occurrence in estuaries and alongshore where the concentration decrease. The geomorphology could be impacted, with an over-siltation in dams and an exacerbated erosion of the muddy-mangrove coast.","author":[{"dropping-particle":"","family":"Le","given":"Hoang Anh","non-dropping-particle":"","parse</w:instrText>
            </w:r>
            <w:r w:rsidRPr="000A0241">
              <w:rPr>
                <w:rFonts w:ascii="Arial" w:hAnsi="Arial" w:cs="Arial"/>
              </w:rPr>
              <w:instrText>-names":false,"suffix":""},{"dropping-particle":"","family":"Gratiot","given":"Nicolas","non-dropping-particle":"","parse-names":false,"suffix":""},{"dropping-particle":"","family":"Santini","given":"William","non-dropping-particle":"","parse-names":false,"suffix":""},{"dropping-particle":"","family":"Ribolzi","given":"Olivier","non-dropping-particle":"","parse-names":false,"suffix":""},{"dropping-particle":"","family":"Tran","given":"Duc","non-dropping-particle":"","parse-names":false,"suffix":""},{"dropping-particle":"","family":"Meriaux","given":"Xavier","non-dropping-particle":"","parse-names":false,"suffix":""},{"dropping-particle":"","family":"Deleersnijder","given":"Eric","non-dropping-particle":"","parse-names":false,"suffix":""},{"dropping-particle":"","family":"Soares-Frazão","given":"Sandra","non-dropping-particle":"","parse-names":false,"suffix":""}],"container-title":"Estuarine, Coastal and Shelf Science","id":"ITEM-1","issue":"October 2019","issued":{"date-parts":[["2020"]]},"title":"Suspended sediment properties in the Lower Mekong River, from fluvial to estuarine environments","type":"article-journal","volume":"233"},"suppress-author":1,"uris":["http://www.mendeley.com/documents/?uuid=519a9cb1-60b9-4eee-8840-d727046d4aa3"]}],"mendeley":{"formattedCitation":"(2020)","plainTextFormattedCitation":"(2020)","previouslyFormattedCitation":"(2020)"},"properties":{"noteIndex":0},"schema":"https://github.com/citation-style-language/schema/raw/master/csl-citation.json"}</w:instrText>
            </w:r>
            <w:r w:rsidRPr="000A0241">
              <w:rPr>
                <w:rFonts w:ascii="Arial" w:hAnsi="Arial" w:cs="Arial"/>
              </w:rPr>
              <w:fldChar w:fldCharType="separate"/>
            </w:r>
            <w:r w:rsidRPr="000A0241">
              <w:rPr>
                <w:rFonts w:ascii="Arial" w:hAnsi="Arial" w:cs="Arial"/>
                <w:sz w:val="22"/>
                <w:szCs w:val="22"/>
              </w:rPr>
              <w:t>(2020)</w:t>
            </w:r>
            <w:r w:rsidRPr="000A0241">
              <w:rPr>
                <w:rFonts w:ascii="Arial" w:hAnsi="Arial" w:cs="Arial"/>
              </w:rPr>
              <w:fldChar w:fldCharType="end"/>
            </w:r>
          </w:p>
        </w:tc>
      </w:tr>
    </w:tbl>
    <w:p w14:paraId="181F2BF7" w14:textId="77777777" w:rsidR="008D0280" w:rsidRDefault="008D0280"/>
    <w:sectPr w:rsidR="008D0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61"/>
    <w:rsid w:val="00082E61"/>
    <w:rsid w:val="008D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6479"/>
  <w15:chartTrackingRefBased/>
  <w15:docId w15:val="{2A377916-A908-42F2-9AA4-275A1D01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E6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1600</Words>
  <Characters>9122</Characters>
  <Application>Microsoft Office Word</Application>
  <DocSecurity>0</DocSecurity>
  <Lines>76</Lines>
  <Paragraphs>21</Paragraphs>
  <ScaleCrop>false</ScaleCrop>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dinh</dc:creator>
  <cp:keywords/>
  <dc:description/>
  <cp:lastModifiedBy>vy dinh</cp:lastModifiedBy>
  <cp:revision>1</cp:revision>
  <dcterms:created xsi:type="dcterms:W3CDTF">2021-10-22T08:24:00Z</dcterms:created>
  <dcterms:modified xsi:type="dcterms:W3CDTF">2021-10-22T08:24:00Z</dcterms:modified>
</cp:coreProperties>
</file>