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9"/>
        <w:gridCol w:w="1446"/>
        <w:gridCol w:w="1445"/>
        <w:gridCol w:w="1590"/>
        <w:gridCol w:w="1590"/>
      </w:tblGrid>
      <w:tr w:rsidR="004257E5" w:rsidRPr="008A5BEC" w14:paraId="1BF86A10" w14:textId="77777777" w:rsidTr="008A460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CB3AF7" w14:textId="77777777" w:rsidR="004257E5" w:rsidRPr="008A5BEC" w:rsidRDefault="004257E5" w:rsidP="004257E5">
            <w:pPr>
              <w:spacing w:before="0" w:after="0" w:line="240" w:lineRule="auto"/>
              <w:ind w:hanging="19"/>
              <w:contextualSpacing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A5BEC">
              <w:rPr>
                <w:rFonts w:ascii="Times New Roman" w:hAnsi="Times New Roman"/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A1F09F" w14:textId="77777777" w:rsidR="004257E5" w:rsidRPr="008A5BEC" w:rsidRDefault="004257E5" w:rsidP="004257E5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A5BEC">
              <w:rPr>
                <w:rFonts w:ascii="Times New Roman" w:hAnsi="Times New Roman"/>
                <w:b/>
                <w:bCs/>
                <w:sz w:val="22"/>
                <w:szCs w:val="22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98C3E6" w14:textId="77777777" w:rsidR="004257E5" w:rsidRPr="008A5BEC" w:rsidRDefault="004257E5" w:rsidP="004257E5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A5BEC">
              <w:rPr>
                <w:rFonts w:ascii="Times New Roman" w:hAnsi="Times New Roman"/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A03AFA" w14:textId="77777777" w:rsidR="004257E5" w:rsidRPr="008A5BEC" w:rsidRDefault="004257E5" w:rsidP="004257E5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A5BEC">
              <w:rPr>
                <w:rFonts w:ascii="Times New Roman" w:hAnsi="Times New Roman"/>
                <w:b/>
                <w:bCs/>
                <w:sz w:val="22"/>
                <w:szCs w:val="22"/>
              </w:rPr>
              <w:t>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035C4B" w14:textId="77777777" w:rsidR="004257E5" w:rsidRPr="008A5BEC" w:rsidRDefault="004257E5" w:rsidP="004257E5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A5BEC">
              <w:rPr>
                <w:rFonts w:ascii="Times New Roman" w:hAnsi="Times New Roman"/>
                <w:b/>
                <w:bCs/>
                <w:sz w:val="22"/>
                <w:szCs w:val="22"/>
              </w:rPr>
              <w:t>2050</w:t>
            </w:r>
          </w:p>
        </w:tc>
      </w:tr>
      <w:tr w:rsidR="004257E5" w:rsidRPr="008A5BEC" w14:paraId="25DEC974" w14:textId="77777777" w:rsidTr="008A4601">
        <w:tc>
          <w:tcPr>
            <w:tcW w:w="0" w:type="auto"/>
            <w:tcBorders>
              <w:top w:val="single" w:sz="4" w:space="0" w:color="auto"/>
            </w:tcBorders>
          </w:tcPr>
          <w:p w14:paraId="24099FDD" w14:textId="77777777" w:rsidR="004257E5" w:rsidRPr="008A5BEC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Population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a</w:t>
            </w:r>
            <w:r w:rsidRPr="008A5BEC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8A5BEC">
              <w:rPr>
                <w:rFonts w:ascii="Times New Roman" w:hAnsi="Times New Roman"/>
                <w:sz w:val="22"/>
                <w:szCs w:val="22"/>
              </w:rPr>
              <w:t>inhabitant</w:t>
            </w:r>
            <w:proofErr w:type="spellEnd"/>
            <w:r w:rsidRPr="008A5BEC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469D7E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6,200,000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14AF72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8,400,000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9B813E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10,300,000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B9FAFF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16,600,000</w:t>
            </w:r>
          </w:p>
        </w:tc>
      </w:tr>
      <w:tr w:rsidR="004257E5" w:rsidRPr="008A5BEC" w14:paraId="4635E2C6" w14:textId="77777777" w:rsidTr="008A4601">
        <w:trPr>
          <w:trHeight w:val="377"/>
        </w:trPr>
        <w:tc>
          <w:tcPr>
            <w:tcW w:w="0" w:type="auto"/>
          </w:tcPr>
          <w:p w14:paraId="6EE31F2F" w14:textId="77777777" w:rsidR="004257E5" w:rsidRPr="008A5BEC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proofErr w:type="spellStart"/>
            <w:r w:rsidRPr="008A5BEC">
              <w:rPr>
                <w:rFonts w:ascii="Times New Roman" w:hAnsi="Times New Roman"/>
                <w:sz w:val="22"/>
                <w:szCs w:val="22"/>
              </w:rPr>
              <w:t>Number</w:t>
            </w:r>
            <w:proofErr w:type="spellEnd"/>
            <w:r w:rsidRPr="008A5BEC">
              <w:rPr>
                <w:rFonts w:ascii="Times New Roman" w:hAnsi="Times New Roman"/>
                <w:sz w:val="22"/>
                <w:szCs w:val="22"/>
              </w:rPr>
              <w:t xml:space="preserve"> of </w:t>
            </w:r>
            <w:proofErr w:type="spellStart"/>
            <w:r w:rsidRPr="008A5BEC">
              <w:rPr>
                <w:rFonts w:ascii="Times New Roman" w:hAnsi="Times New Roman"/>
                <w:sz w:val="22"/>
                <w:szCs w:val="22"/>
              </w:rPr>
              <w:t>WWTPs</w:t>
            </w:r>
            <w:proofErr w:type="spellEnd"/>
            <w:r w:rsidRPr="008A5BE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1A30492F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9745455" w14:textId="5F0AFB88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ED42CEE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CCC5716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</w:tr>
      <w:tr w:rsidR="004257E5" w:rsidRPr="008A5BEC" w14:paraId="6A20F303" w14:textId="77777777" w:rsidTr="008A4601">
        <w:tc>
          <w:tcPr>
            <w:tcW w:w="0" w:type="auto"/>
          </w:tcPr>
          <w:p w14:paraId="1C49A278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WWTPs treatment capacity (m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3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-1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) 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b</w:t>
            </w:r>
          </w:p>
        </w:tc>
        <w:tc>
          <w:tcPr>
            <w:tcW w:w="0" w:type="auto"/>
          </w:tcPr>
          <w:p w14:paraId="4FEA9595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579539C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171 000</w:t>
            </w:r>
          </w:p>
        </w:tc>
        <w:tc>
          <w:tcPr>
            <w:tcW w:w="0" w:type="auto"/>
          </w:tcPr>
          <w:p w14:paraId="4A8989BF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1,253,000</w:t>
            </w:r>
          </w:p>
        </w:tc>
        <w:tc>
          <w:tcPr>
            <w:tcW w:w="0" w:type="auto"/>
          </w:tcPr>
          <w:p w14:paraId="19764AD1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2,813,000</w:t>
            </w:r>
          </w:p>
        </w:tc>
      </w:tr>
      <w:tr w:rsidR="004257E5" w:rsidRPr="008A5BEC" w14:paraId="1720A93F" w14:textId="77777777" w:rsidTr="008A4601">
        <w:tc>
          <w:tcPr>
            <w:tcW w:w="0" w:type="auto"/>
          </w:tcPr>
          <w:p w14:paraId="0D17B80C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Population connected to WWTPs (%) 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c</w:t>
            </w:r>
          </w:p>
        </w:tc>
        <w:tc>
          <w:tcPr>
            <w:tcW w:w="0" w:type="auto"/>
          </w:tcPr>
          <w:p w14:paraId="61FC64CC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0%</w:t>
            </w:r>
          </w:p>
        </w:tc>
        <w:tc>
          <w:tcPr>
            <w:tcW w:w="0" w:type="auto"/>
          </w:tcPr>
          <w:p w14:paraId="2AB3C80B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10%</w:t>
            </w:r>
          </w:p>
        </w:tc>
        <w:tc>
          <w:tcPr>
            <w:tcW w:w="0" w:type="auto"/>
          </w:tcPr>
          <w:p w14:paraId="4E0E10FB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27%</w:t>
            </w:r>
          </w:p>
        </w:tc>
        <w:tc>
          <w:tcPr>
            <w:tcW w:w="0" w:type="auto"/>
          </w:tcPr>
          <w:p w14:paraId="0CAE55DD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54%</w:t>
            </w:r>
          </w:p>
        </w:tc>
      </w:tr>
      <w:tr w:rsidR="004257E5" w:rsidRPr="008A5BEC" w14:paraId="36823B2B" w14:textId="77777777" w:rsidTr="008A4601">
        <w:tc>
          <w:tcPr>
            <w:tcW w:w="0" w:type="auto"/>
          </w:tcPr>
          <w:p w14:paraId="5B09A4EF" w14:textId="4DCB2E81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NH</w:t>
            </w:r>
            <w:r w:rsidRPr="003C4E84">
              <w:rPr>
                <w:rFonts w:ascii="Times New Roman" w:hAnsi="Times New Roman"/>
                <w:sz w:val="22"/>
                <w:szCs w:val="22"/>
                <w:vertAlign w:val="subscript"/>
                <w:lang w:val="en-US"/>
              </w:rPr>
              <w:t>4</w:t>
            </w:r>
            <w:r w:rsidR="003C4E8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+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flux from canals to river </w:t>
            </w:r>
          </w:p>
          <w:p w14:paraId="1C0956DE" w14:textId="77777777" w:rsidR="004257E5" w:rsidRPr="008A5BEC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Start"/>
            <w:r w:rsidRPr="008A5BEC">
              <w:rPr>
                <w:rFonts w:ascii="Times New Roman" w:hAnsi="Times New Roman"/>
                <w:sz w:val="22"/>
                <w:szCs w:val="22"/>
              </w:rPr>
              <w:t>kgNd</w:t>
            </w:r>
            <w:proofErr w:type="gramEnd"/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-1</w:t>
            </w:r>
            <w:r w:rsidRPr="008A5BEC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d</w:t>
            </w:r>
          </w:p>
        </w:tc>
        <w:tc>
          <w:tcPr>
            <w:tcW w:w="0" w:type="auto"/>
          </w:tcPr>
          <w:p w14:paraId="2D5647A9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5,670</w:t>
            </w:r>
          </w:p>
        </w:tc>
        <w:tc>
          <w:tcPr>
            <w:tcW w:w="0" w:type="auto"/>
          </w:tcPr>
          <w:p w14:paraId="6207DD08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4,611</w:t>
            </w:r>
          </w:p>
        </w:tc>
        <w:tc>
          <w:tcPr>
            <w:tcW w:w="0" w:type="auto"/>
          </w:tcPr>
          <w:p w14:paraId="62B7766A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6,100</w:t>
            </w:r>
          </w:p>
        </w:tc>
        <w:tc>
          <w:tcPr>
            <w:tcW w:w="0" w:type="auto"/>
          </w:tcPr>
          <w:p w14:paraId="334699AC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12,780</w:t>
            </w:r>
          </w:p>
        </w:tc>
      </w:tr>
      <w:tr w:rsidR="004257E5" w:rsidRPr="008A5BEC" w14:paraId="42A0441B" w14:textId="77777777" w:rsidTr="008A4601">
        <w:tc>
          <w:tcPr>
            <w:tcW w:w="0" w:type="auto"/>
          </w:tcPr>
          <w:p w14:paraId="3D24B8BD" w14:textId="7450E91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  <w:r w:rsidRPr="003C4E84">
              <w:rPr>
                <w:rFonts w:ascii="Times New Roman" w:hAnsi="Times New Roman"/>
                <w:sz w:val="22"/>
                <w:szCs w:val="22"/>
                <w:vertAlign w:val="subscript"/>
                <w:lang w:val="en-US"/>
              </w:rPr>
              <w:t>4</w:t>
            </w:r>
            <w:r w:rsidR="003C4E8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3-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flux from canals to river </w:t>
            </w:r>
          </w:p>
          <w:p w14:paraId="44CFF583" w14:textId="77777777" w:rsidR="004257E5" w:rsidRPr="008A5BEC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Start"/>
            <w:r w:rsidRPr="008A5BEC">
              <w:rPr>
                <w:rFonts w:ascii="Times New Roman" w:hAnsi="Times New Roman"/>
                <w:sz w:val="22"/>
                <w:szCs w:val="22"/>
              </w:rPr>
              <w:t>kgPd</w:t>
            </w:r>
            <w:proofErr w:type="gramEnd"/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-1</w:t>
            </w:r>
            <w:r w:rsidRPr="008A5BEC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d</w:t>
            </w:r>
          </w:p>
        </w:tc>
        <w:tc>
          <w:tcPr>
            <w:tcW w:w="0" w:type="auto"/>
          </w:tcPr>
          <w:p w14:paraId="790A8E09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324</w:t>
            </w:r>
          </w:p>
        </w:tc>
        <w:tc>
          <w:tcPr>
            <w:tcW w:w="0" w:type="auto"/>
          </w:tcPr>
          <w:p w14:paraId="24F7DB3E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256</w:t>
            </w:r>
          </w:p>
        </w:tc>
        <w:tc>
          <w:tcPr>
            <w:tcW w:w="0" w:type="auto"/>
          </w:tcPr>
          <w:p w14:paraId="53A2A99F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278</w:t>
            </w:r>
          </w:p>
        </w:tc>
        <w:tc>
          <w:tcPr>
            <w:tcW w:w="0" w:type="auto"/>
          </w:tcPr>
          <w:p w14:paraId="22521946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671</w:t>
            </w:r>
          </w:p>
        </w:tc>
      </w:tr>
      <w:tr w:rsidR="004257E5" w:rsidRPr="008A5BEC" w14:paraId="59304B48" w14:textId="77777777" w:rsidTr="008A4601">
        <w:tc>
          <w:tcPr>
            <w:tcW w:w="0" w:type="auto"/>
          </w:tcPr>
          <w:p w14:paraId="1961AA0F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TOC flux from canals to river </w:t>
            </w:r>
          </w:p>
          <w:p w14:paraId="52C5CAA7" w14:textId="77777777" w:rsidR="004257E5" w:rsidRPr="008A5BEC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(</w:t>
            </w:r>
            <w:proofErr w:type="gramStart"/>
            <w:r w:rsidRPr="008A5BEC">
              <w:rPr>
                <w:rFonts w:ascii="Times New Roman" w:hAnsi="Times New Roman"/>
                <w:sz w:val="22"/>
                <w:szCs w:val="22"/>
              </w:rPr>
              <w:t>kgCd</w:t>
            </w:r>
            <w:proofErr w:type="gramEnd"/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-1</w:t>
            </w:r>
            <w:r w:rsidRPr="008A5BEC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d</w:t>
            </w:r>
          </w:p>
        </w:tc>
        <w:tc>
          <w:tcPr>
            <w:tcW w:w="0" w:type="auto"/>
          </w:tcPr>
          <w:p w14:paraId="08FC5445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24,300</w:t>
            </w:r>
          </w:p>
        </w:tc>
        <w:tc>
          <w:tcPr>
            <w:tcW w:w="0" w:type="auto"/>
          </w:tcPr>
          <w:p w14:paraId="5339883F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15,114</w:t>
            </w:r>
          </w:p>
        </w:tc>
        <w:tc>
          <w:tcPr>
            <w:tcW w:w="0" w:type="auto"/>
          </w:tcPr>
          <w:p w14:paraId="612CC708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20,410</w:t>
            </w:r>
          </w:p>
        </w:tc>
        <w:tc>
          <w:tcPr>
            <w:tcW w:w="0" w:type="auto"/>
          </w:tcPr>
          <w:p w14:paraId="0DDC5833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43,830</w:t>
            </w:r>
          </w:p>
        </w:tc>
      </w:tr>
      <w:tr w:rsidR="004257E5" w:rsidRPr="008A5BEC" w14:paraId="34F55E9D" w14:textId="77777777" w:rsidTr="008A4601">
        <w:tc>
          <w:tcPr>
            <w:tcW w:w="0" w:type="auto"/>
          </w:tcPr>
          <w:p w14:paraId="2CC4F02F" w14:textId="77777777" w:rsidR="004257E5" w:rsidRPr="008A5BEC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proofErr w:type="spellStart"/>
            <w:r w:rsidRPr="008A5BEC">
              <w:rPr>
                <w:rFonts w:ascii="Times New Roman" w:hAnsi="Times New Roman"/>
                <w:sz w:val="22"/>
                <w:szCs w:val="22"/>
              </w:rPr>
              <w:t>Temperature</w:t>
            </w:r>
            <w:proofErr w:type="spellEnd"/>
            <w:r w:rsidRPr="008A5BEC">
              <w:rPr>
                <w:rFonts w:ascii="Times New Roman" w:hAnsi="Times New Roman"/>
                <w:sz w:val="22"/>
                <w:szCs w:val="22"/>
              </w:rPr>
              <w:t xml:space="preserve"> (°C) 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e</w:t>
            </w:r>
          </w:p>
        </w:tc>
        <w:tc>
          <w:tcPr>
            <w:tcW w:w="0" w:type="auto"/>
          </w:tcPr>
          <w:p w14:paraId="1A3F0B8D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7FAAD6D8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58010644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28+0.5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e</w:t>
            </w:r>
          </w:p>
        </w:tc>
        <w:tc>
          <w:tcPr>
            <w:tcW w:w="0" w:type="auto"/>
          </w:tcPr>
          <w:p w14:paraId="3A5A4AD3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28+1.5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e</w:t>
            </w:r>
          </w:p>
        </w:tc>
      </w:tr>
      <w:tr w:rsidR="004257E5" w:rsidRPr="008A5BEC" w14:paraId="0E3A870C" w14:textId="77777777" w:rsidTr="008A4601">
        <w:tc>
          <w:tcPr>
            <w:tcW w:w="0" w:type="auto"/>
          </w:tcPr>
          <w:p w14:paraId="443B7E55" w14:textId="77777777" w:rsidR="004257E5" w:rsidRPr="008A5BEC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 xml:space="preserve">Tidal range (m) 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f</w:t>
            </w:r>
          </w:p>
        </w:tc>
        <w:tc>
          <w:tcPr>
            <w:tcW w:w="0" w:type="auto"/>
          </w:tcPr>
          <w:p w14:paraId="396A5FCA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2.80</w:t>
            </w:r>
          </w:p>
        </w:tc>
        <w:tc>
          <w:tcPr>
            <w:tcW w:w="0" w:type="auto"/>
          </w:tcPr>
          <w:p w14:paraId="40E9AB37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2.80</w:t>
            </w:r>
          </w:p>
        </w:tc>
        <w:tc>
          <w:tcPr>
            <w:tcW w:w="0" w:type="auto"/>
          </w:tcPr>
          <w:p w14:paraId="5F5A26DC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2.80</w:t>
            </w:r>
          </w:p>
        </w:tc>
        <w:tc>
          <w:tcPr>
            <w:tcW w:w="0" w:type="auto"/>
          </w:tcPr>
          <w:p w14:paraId="2091A382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2.80 + 0.2</w:t>
            </w:r>
            <w:r w:rsidRPr="008A5BEC">
              <w:rPr>
                <w:rFonts w:ascii="Times New Roman" w:hAnsi="Times New Roman"/>
                <w:sz w:val="22"/>
                <w:szCs w:val="22"/>
                <w:vertAlign w:val="superscript"/>
              </w:rPr>
              <w:t>f</w:t>
            </w:r>
          </w:p>
        </w:tc>
      </w:tr>
      <w:tr w:rsidR="004257E5" w:rsidRPr="008A5BEC" w14:paraId="4257DBF6" w14:textId="77777777" w:rsidTr="004257E5">
        <w:tc>
          <w:tcPr>
            <w:tcW w:w="0" w:type="auto"/>
            <w:tcBorders>
              <w:bottom w:val="single" w:sz="4" w:space="0" w:color="auto"/>
            </w:tcBorders>
          </w:tcPr>
          <w:p w14:paraId="765BA282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Freshwater inflow in dry and rainy season (m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3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-1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) 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65C8C" w14:textId="77777777" w:rsidR="004257E5" w:rsidRPr="008A5BEC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 &amp; 120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C9427F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 &amp; 120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8E199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 &amp; 120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C36DCA" w14:textId="77777777" w:rsidR="004257E5" w:rsidRPr="008A5BEC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 w:rsidRPr="008A5BEC">
              <w:rPr>
                <w:rFonts w:ascii="Times New Roman" w:hAnsi="Times New Roman"/>
                <w:sz w:val="22"/>
                <w:szCs w:val="22"/>
              </w:rPr>
              <w:t>28 &amp; 120</w:t>
            </w:r>
          </w:p>
        </w:tc>
      </w:tr>
      <w:tr w:rsidR="004257E5" w:rsidRPr="008A5BEC" w14:paraId="028EE5D7" w14:textId="77777777" w:rsidTr="004257E5">
        <w:tc>
          <w:tcPr>
            <w:tcW w:w="0" w:type="auto"/>
            <w:gridSpan w:val="5"/>
            <w:tcBorders>
              <w:top w:val="single" w:sz="4" w:space="0" w:color="auto"/>
            </w:tcBorders>
          </w:tcPr>
          <w:p w14:paraId="3F9E56B1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 xml:space="preserve">a </w:t>
            </w:r>
            <w:proofErr w:type="gramStart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Based on</w:t>
            </w:r>
            <w:proofErr w:type="gramEnd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calculation of UN World Urbanization Prospects for population growth rate in HCMC which are 2.7% in 2020 and decrease to 1.3% in 2050.</w:t>
            </w:r>
          </w:p>
          <w:p w14:paraId="3870947A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 xml:space="preserve">b 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Planning of the building of new WWTPs from (Tran Ngoc </w:t>
            </w:r>
            <w:r w:rsidRPr="004257E5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et al.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, 2016).</w:t>
            </w:r>
          </w:p>
          <w:p w14:paraId="51FCCD6F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 xml:space="preserve">c 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Percentage of the population connected to WWTPs is equal to WWTPs volume capacity divided by the total water consumption (200 liters/capita/day).</w:t>
            </w:r>
          </w:p>
          <w:p w14:paraId="6A61EF3E" w14:textId="77777777" w:rsidR="004257E5" w:rsidRPr="004257E5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gramStart"/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 xml:space="preserve">d  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Total</w:t>
            </w:r>
            <w:proofErr w:type="gramEnd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flux of treated wastewater and untreated wastewater. The treated flux was calculated based on removal efficiency, 40–50% of TN, TP and 85% of TOC in the conventional active sludge treatment process from Metcalf and Eddy/AECOM, 2014 for the WWTP outlet. The untreated flux was calculated based on the nutrient emission per capita from Nguyen et al., 2020. </w:t>
            </w:r>
          </w:p>
          <w:p w14:paraId="4A240825" w14:textId="77777777" w:rsidR="004257E5" w:rsidRPr="004257E5" w:rsidRDefault="004257E5" w:rsidP="008A4601">
            <w:pPr>
              <w:spacing w:before="0" w:after="0" w:line="240" w:lineRule="auto"/>
              <w:ind w:firstLine="0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 xml:space="preserve">e 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Increase in sea surface temperature of 1.5°C by 2050 under RCP8.5 scenario, adapted for HCMC (MONRE </w:t>
            </w:r>
            <w:r w:rsidRPr="004257E5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et al.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, 2016).</w:t>
            </w:r>
          </w:p>
          <w:p w14:paraId="63595F7C" w14:textId="77777777" w:rsidR="004257E5" w:rsidRPr="004257E5" w:rsidRDefault="004257E5" w:rsidP="008A4601">
            <w:pPr>
              <w:spacing w:before="0" w:after="0" w:line="240" w:lineRule="auto"/>
              <w:ind w:firstLine="0"/>
              <w:contextualSpacing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f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Increase of tidal amplitudes by 2050 (</w:t>
            </w:r>
            <w:proofErr w:type="spellStart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Bindoff</w:t>
            </w:r>
            <w:proofErr w:type="spellEnd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4257E5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et al.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, 2019).</w:t>
            </w:r>
          </w:p>
          <w:p w14:paraId="76B11566" w14:textId="77777777" w:rsidR="004257E5" w:rsidRPr="004257E5" w:rsidRDefault="004257E5" w:rsidP="008A4601">
            <w:pPr>
              <w:spacing w:before="0" w:after="0" w:line="240" w:lineRule="auto"/>
              <w:ind w:firstLine="0"/>
              <w:contextualSpacing/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</w:pP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 xml:space="preserve">g </w:t>
            </w:r>
            <w:proofErr w:type="gramStart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The</w:t>
            </w:r>
            <w:proofErr w:type="gramEnd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upstream boundary condition discharge </w:t>
            </w:r>
            <w:proofErr w:type="spellStart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Dau</w:t>
            </w:r>
            <w:proofErr w:type="spellEnd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Tieng Reservoir is maintained for all three scenarios. The increase in water demand in HCMC in the future will be addressed by increasing additional water sources mainly from </w:t>
            </w:r>
            <w:proofErr w:type="spellStart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Dongnai</w:t>
            </w:r>
            <w:proofErr w:type="spellEnd"/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River (net discharge 613 m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3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</w:t>
            </w:r>
            <w:r w:rsidRPr="004257E5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-1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) (Tran Ngoc </w:t>
            </w:r>
            <w:r w:rsidRPr="004257E5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et al.</w:t>
            </w:r>
            <w:r w:rsidRPr="004257E5">
              <w:rPr>
                <w:rFonts w:ascii="Times New Roman" w:hAnsi="Times New Roman"/>
                <w:sz w:val="22"/>
                <w:szCs w:val="22"/>
                <w:lang w:val="en-US"/>
              </w:rPr>
              <w:t>, 2016).</w:t>
            </w:r>
          </w:p>
        </w:tc>
      </w:tr>
    </w:tbl>
    <w:p w14:paraId="38F2F0BD" w14:textId="77777777" w:rsidR="00A549AF" w:rsidRDefault="00A549AF"/>
    <w:sectPr w:rsidR="00A5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E5"/>
    <w:rsid w:val="003C4E84"/>
    <w:rsid w:val="004257E5"/>
    <w:rsid w:val="0072248E"/>
    <w:rsid w:val="00A5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8713"/>
  <w15:chartTrackingRefBased/>
  <w15:docId w15:val="{FBDC3828-8171-4719-93C1-4753FC66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7E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7E5"/>
    <w:pPr>
      <w:spacing w:before="60" w:after="120" w:line="276" w:lineRule="auto"/>
      <w:ind w:firstLine="709"/>
      <w:jc w:val="both"/>
    </w:pPr>
    <w:rPr>
      <w:rFonts w:ascii="Calibri" w:eastAsia="Times New Roman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5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7E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3</cp:revision>
  <dcterms:created xsi:type="dcterms:W3CDTF">2021-10-22T08:40:00Z</dcterms:created>
  <dcterms:modified xsi:type="dcterms:W3CDTF">2021-10-22T08:46:00Z</dcterms:modified>
</cp:coreProperties>
</file>