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B2AB7" w14:textId="77777777" w:rsidR="00E01075" w:rsidRPr="00863869" w:rsidRDefault="00E01075" w:rsidP="00E01075">
      <w:pPr>
        <w:pStyle w:val="Heading2"/>
        <w:spacing w:line="360" w:lineRule="auto"/>
        <w:rPr>
          <w:rFonts w:cstheme="majorHAnsi"/>
          <w:sz w:val="24"/>
          <w:szCs w:val="24"/>
        </w:rPr>
      </w:pPr>
      <w:r w:rsidRPr="00863869">
        <w:rPr>
          <w:rFonts w:cstheme="majorHAnsi"/>
          <w:sz w:val="24"/>
          <w:szCs w:val="24"/>
        </w:rPr>
        <w:t xml:space="preserve">Part 1: Data Analysis and Insight </w:t>
      </w:r>
    </w:p>
    <w:p w14:paraId="6CA7B87E" w14:textId="086604D8" w:rsidR="00E01075" w:rsidRPr="00863869" w:rsidRDefault="00E01075" w:rsidP="00E01075">
      <w:pPr>
        <w:pStyle w:val="ListParagraph"/>
        <w:numPr>
          <w:ilvl w:val="0"/>
          <w:numId w:val="2"/>
        </w:numPr>
        <w:spacing w:after="0" w:line="360" w:lineRule="auto"/>
        <w:jc w:val="both"/>
        <w:rPr>
          <w:rFonts w:asciiTheme="majorHAnsi" w:hAnsiTheme="majorHAnsi" w:cstheme="majorHAnsi"/>
          <w:b/>
          <w:bCs/>
          <w:sz w:val="24"/>
          <w:szCs w:val="24"/>
          <w:lang w:val="en-AU"/>
        </w:rPr>
      </w:pPr>
      <w:r w:rsidRPr="00863869">
        <w:rPr>
          <w:rFonts w:asciiTheme="majorHAnsi" w:hAnsiTheme="majorHAnsi" w:cstheme="majorHAnsi"/>
          <w:b/>
          <w:bCs/>
          <w:sz w:val="24"/>
          <w:szCs w:val="24"/>
          <w:lang w:val="en-AU"/>
        </w:rPr>
        <w:t>Data Overview</w:t>
      </w:r>
    </w:p>
    <w:p w14:paraId="4573C7DE" w14:textId="46512BEB" w:rsidR="000D123A" w:rsidRPr="002B69B0" w:rsidRDefault="00C90434" w:rsidP="002B69B0">
      <w:pPr>
        <w:pStyle w:val="ListParagraph"/>
        <w:spacing w:after="0" w:line="360" w:lineRule="auto"/>
        <w:jc w:val="both"/>
        <w:rPr>
          <w:rFonts w:asciiTheme="majorHAnsi" w:hAnsiTheme="majorHAnsi" w:cstheme="majorHAnsi"/>
          <w:sz w:val="24"/>
          <w:szCs w:val="24"/>
          <w:lang w:val="en-US"/>
        </w:rPr>
      </w:pPr>
      <w:r w:rsidRPr="00863869">
        <w:rPr>
          <w:rFonts w:asciiTheme="majorHAnsi" w:hAnsiTheme="majorHAnsi" w:cstheme="majorHAnsi"/>
          <w:sz w:val="24"/>
          <w:szCs w:val="24"/>
        </w:rPr>
        <w:t>The dataset titled "Cost of Living" provides historical economic data on average monthly income and cost of living across 12 countries from 2000 to 2023, making it a valuable resource for analyzing global economic trends, affordability, purchasing power, and regional disparities over time.</w:t>
      </w:r>
    </w:p>
    <w:p w14:paraId="733A677D" w14:textId="556890D1" w:rsidR="00422AF9" w:rsidRPr="00863869" w:rsidRDefault="00422AF9" w:rsidP="00422AF9">
      <w:pPr>
        <w:pStyle w:val="ListParagraph"/>
        <w:spacing w:after="0" w:line="360" w:lineRule="auto"/>
        <w:jc w:val="center"/>
        <w:rPr>
          <w:rFonts w:asciiTheme="majorHAnsi" w:hAnsiTheme="majorHAnsi" w:cstheme="majorHAnsi"/>
          <w:sz w:val="24"/>
          <w:szCs w:val="24"/>
          <w:lang w:val="en-US"/>
        </w:rPr>
      </w:pPr>
      <w:r w:rsidRPr="00863869">
        <w:rPr>
          <w:rFonts w:asciiTheme="majorHAnsi" w:hAnsiTheme="majorHAnsi" w:cstheme="majorHAnsi"/>
          <w:noProof/>
          <w:sz w:val="24"/>
          <w:szCs w:val="24"/>
          <w:lang w:val="en-US"/>
        </w:rPr>
        <w:drawing>
          <wp:inline distT="0" distB="0" distL="0" distR="0" wp14:anchorId="278886A2" wp14:editId="3E6C5DC2">
            <wp:extent cx="2863811" cy="2547442"/>
            <wp:effectExtent l="0" t="0" r="0" b="5715"/>
            <wp:docPr id="190015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56060" name=""/>
                    <pic:cNvPicPr/>
                  </pic:nvPicPr>
                  <pic:blipFill>
                    <a:blip r:embed="rId5"/>
                    <a:stretch>
                      <a:fillRect/>
                    </a:stretch>
                  </pic:blipFill>
                  <pic:spPr>
                    <a:xfrm>
                      <a:off x="0" y="0"/>
                      <a:ext cx="2875714" cy="2558030"/>
                    </a:xfrm>
                    <a:prstGeom prst="rect">
                      <a:avLst/>
                    </a:prstGeom>
                  </pic:spPr>
                </pic:pic>
              </a:graphicData>
            </a:graphic>
          </wp:inline>
        </w:drawing>
      </w:r>
    </w:p>
    <w:p w14:paraId="7DE0ED29" w14:textId="77777777" w:rsidR="00C90434" w:rsidRPr="00863869" w:rsidRDefault="00C90434" w:rsidP="00C90434">
      <w:pPr>
        <w:pStyle w:val="ListParagraph"/>
        <w:spacing w:after="0" w:line="360" w:lineRule="auto"/>
        <w:jc w:val="both"/>
        <w:rPr>
          <w:rFonts w:asciiTheme="majorHAnsi" w:hAnsiTheme="majorHAnsi" w:cstheme="majorHAnsi"/>
          <w:sz w:val="24"/>
          <w:szCs w:val="24"/>
        </w:rPr>
      </w:pPr>
      <w:r w:rsidRPr="00863869">
        <w:rPr>
          <w:rFonts w:asciiTheme="majorHAnsi" w:hAnsiTheme="majorHAnsi" w:cstheme="majorHAnsi"/>
          <w:sz w:val="24"/>
          <w:szCs w:val="24"/>
        </w:rPr>
        <w:t>It includes 202 rows (including header) and 5 columns: Country, Year, Average_Monthly_Income, Cost_of_Living, Region.</w:t>
      </w:r>
    </w:p>
    <w:p w14:paraId="174AE2B1" w14:textId="77777777" w:rsidR="00C90434" w:rsidRPr="00863869" w:rsidRDefault="00C90434" w:rsidP="00C90434">
      <w:pPr>
        <w:pStyle w:val="ListParagraph"/>
        <w:numPr>
          <w:ilvl w:val="0"/>
          <w:numId w:val="10"/>
        </w:numPr>
        <w:spacing w:after="0" w:line="360" w:lineRule="auto"/>
        <w:jc w:val="both"/>
        <w:rPr>
          <w:rFonts w:asciiTheme="majorHAnsi" w:hAnsiTheme="majorHAnsi" w:cstheme="majorHAnsi"/>
          <w:sz w:val="24"/>
          <w:szCs w:val="24"/>
        </w:rPr>
      </w:pPr>
      <w:r w:rsidRPr="00863869">
        <w:rPr>
          <w:rFonts w:asciiTheme="majorHAnsi" w:hAnsiTheme="majorHAnsi" w:cstheme="majorHAnsi"/>
          <w:sz w:val="24"/>
          <w:szCs w:val="24"/>
        </w:rPr>
        <w:t>Country: Name of the country (12 unique values: Australia, Brazil, Canada, China, France, Germany, India, Japan, Mexico, Russia, South Africa, United States).</w:t>
      </w:r>
    </w:p>
    <w:p w14:paraId="624FFC02" w14:textId="0049B8B3" w:rsidR="00C90434" w:rsidRPr="00863869" w:rsidRDefault="00C90434" w:rsidP="00C90434">
      <w:pPr>
        <w:pStyle w:val="ListParagraph"/>
        <w:numPr>
          <w:ilvl w:val="0"/>
          <w:numId w:val="10"/>
        </w:numPr>
        <w:spacing w:after="0" w:line="360" w:lineRule="auto"/>
        <w:jc w:val="both"/>
        <w:rPr>
          <w:rFonts w:asciiTheme="majorHAnsi" w:hAnsiTheme="majorHAnsi" w:cstheme="majorHAnsi"/>
          <w:sz w:val="24"/>
          <w:szCs w:val="24"/>
        </w:rPr>
      </w:pPr>
      <w:r w:rsidRPr="00863869">
        <w:rPr>
          <w:rFonts w:asciiTheme="majorHAnsi" w:hAnsiTheme="majorHAnsi" w:cstheme="majorHAnsi"/>
          <w:sz w:val="24"/>
          <w:szCs w:val="24"/>
        </w:rPr>
        <w:t>Year: Year of data collection (2000–2023</w:t>
      </w:r>
      <w:r w:rsidR="00422AF9" w:rsidRPr="00863869">
        <w:rPr>
          <w:rFonts w:asciiTheme="majorHAnsi" w:hAnsiTheme="majorHAnsi" w:cstheme="majorHAnsi"/>
          <w:sz w:val="24"/>
          <w:szCs w:val="24"/>
          <w:lang w:val="en-US"/>
        </w:rPr>
        <w:t>)</w:t>
      </w:r>
    </w:p>
    <w:p w14:paraId="622CCD7F" w14:textId="65CAE61E" w:rsidR="00C90434" w:rsidRPr="00863869" w:rsidRDefault="00C90434" w:rsidP="00C90434">
      <w:pPr>
        <w:pStyle w:val="ListParagraph"/>
        <w:numPr>
          <w:ilvl w:val="0"/>
          <w:numId w:val="10"/>
        </w:numPr>
        <w:spacing w:after="0" w:line="360" w:lineRule="auto"/>
        <w:jc w:val="both"/>
        <w:rPr>
          <w:rFonts w:asciiTheme="majorHAnsi" w:hAnsiTheme="majorHAnsi" w:cstheme="majorHAnsi"/>
          <w:sz w:val="24"/>
          <w:szCs w:val="24"/>
        </w:rPr>
      </w:pPr>
      <w:r w:rsidRPr="00863869">
        <w:rPr>
          <w:rFonts w:asciiTheme="majorHAnsi" w:hAnsiTheme="majorHAnsi" w:cstheme="majorHAnsi"/>
          <w:sz w:val="24"/>
          <w:szCs w:val="24"/>
        </w:rPr>
        <w:t xml:space="preserve">Average_Monthly_Income: Estimated average monthly earnings per person </w:t>
      </w:r>
    </w:p>
    <w:p w14:paraId="74E015B9" w14:textId="04674D3E" w:rsidR="00C90434" w:rsidRPr="00863869" w:rsidRDefault="00C90434" w:rsidP="00C90434">
      <w:pPr>
        <w:pStyle w:val="ListParagraph"/>
        <w:numPr>
          <w:ilvl w:val="0"/>
          <w:numId w:val="10"/>
        </w:numPr>
        <w:spacing w:after="0" w:line="360" w:lineRule="auto"/>
        <w:jc w:val="both"/>
        <w:rPr>
          <w:rFonts w:asciiTheme="majorHAnsi" w:hAnsiTheme="majorHAnsi" w:cstheme="majorHAnsi"/>
          <w:sz w:val="24"/>
          <w:szCs w:val="24"/>
        </w:rPr>
      </w:pPr>
      <w:r w:rsidRPr="00863869">
        <w:rPr>
          <w:rFonts w:asciiTheme="majorHAnsi" w:hAnsiTheme="majorHAnsi" w:cstheme="majorHAnsi"/>
          <w:sz w:val="24"/>
          <w:szCs w:val="24"/>
        </w:rPr>
        <w:t xml:space="preserve">Cost_of_Living: Estimated average monthly expenses per person </w:t>
      </w:r>
    </w:p>
    <w:p w14:paraId="57D6E145" w14:textId="3A26F623" w:rsidR="00C90434" w:rsidRPr="003A5760" w:rsidRDefault="00C90434" w:rsidP="003A5760">
      <w:pPr>
        <w:pStyle w:val="ListParagraph"/>
        <w:numPr>
          <w:ilvl w:val="0"/>
          <w:numId w:val="10"/>
        </w:numPr>
        <w:spacing w:after="0" w:line="360" w:lineRule="auto"/>
        <w:jc w:val="both"/>
        <w:rPr>
          <w:rFonts w:asciiTheme="majorHAnsi" w:hAnsiTheme="majorHAnsi" w:cstheme="majorHAnsi"/>
          <w:sz w:val="24"/>
          <w:szCs w:val="24"/>
        </w:rPr>
      </w:pPr>
      <w:r w:rsidRPr="00863869">
        <w:rPr>
          <w:rFonts w:asciiTheme="majorHAnsi" w:hAnsiTheme="majorHAnsi" w:cstheme="majorHAnsi"/>
          <w:sz w:val="24"/>
          <w:szCs w:val="24"/>
        </w:rPr>
        <w:t>Region: Geographical classification (Asia, Europe, Africa, North America, South America, Oceania</w:t>
      </w:r>
      <w:r w:rsidR="00422AF9" w:rsidRPr="00863869">
        <w:rPr>
          <w:rFonts w:asciiTheme="majorHAnsi" w:hAnsiTheme="majorHAnsi" w:cstheme="majorHAnsi"/>
          <w:sz w:val="24"/>
          <w:szCs w:val="24"/>
          <w:lang w:val="en-US"/>
        </w:rPr>
        <w:t>)</w:t>
      </w:r>
    </w:p>
    <w:p w14:paraId="40D3EFE9" w14:textId="3E1BBB5E" w:rsidR="00855F36" w:rsidRPr="00766ACA" w:rsidRDefault="00855F36" w:rsidP="00766ACA">
      <w:pPr>
        <w:pStyle w:val="ListParagraph"/>
        <w:spacing w:after="0" w:line="360" w:lineRule="auto"/>
        <w:jc w:val="both"/>
        <w:rPr>
          <w:rFonts w:asciiTheme="majorHAnsi" w:hAnsiTheme="majorHAnsi" w:cstheme="majorHAnsi"/>
          <w:sz w:val="24"/>
          <w:szCs w:val="24"/>
          <w:lang w:val="en-US"/>
        </w:rPr>
      </w:pPr>
      <w:r w:rsidRPr="00855F36">
        <w:rPr>
          <w:rFonts w:asciiTheme="majorHAnsi" w:hAnsiTheme="majorHAnsi" w:cstheme="majorHAnsi"/>
          <w:sz w:val="24"/>
          <w:szCs w:val="24"/>
        </w:rPr>
        <w:t>Although the source of the data in this file is not mentioned, it may get that from international, renowned databases like Numbeo</w:t>
      </w:r>
      <w:r w:rsidR="003A5760">
        <w:rPr>
          <w:rFonts w:asciiTheme="majorHAnsi" w:hAnsiTheme="majorHAnsi" w:cstheme="majorHAnsi"/>
          <w:sz w:val="24"/>
          <w:szCs w:val="24"/>
          <w:lang w:val="en-US"/>
        </w:rPr>
        <w:t xml:space="preserve">, </w:t>
      </w:r>
      <w:r w:rsidRPr="00855F36">
        <w:rPr>
          <w:rFonts w:asciiTheme="majorHAnsi" w:hAnsiTheme="majorHAnsi" w:cstheme="majorHAnsi"/>
          <w:sz w:val="24"/>
          <w:szCs w:val="24"/>
        </w:rPr>
        <w:t>World Bank, etc.</w:t>
      </w:r>
    </w:p>
    <w:p w14:paraId="11F47F5A" w14:textId="19340032" w:rsidR="00534E75" w:rsidRDefault="00534E75" w:rsidP="00422AF9">
      <w:pPr>
        <w:pStyle w:val="NormalWeb"/>
        <w:ind w:left="720"/>
        <w:rPr>
          <w:rFonts w:asciiTheme="majorHAnsi" w:hAnsiTheme="majorHAnsi" w:cstheme="majorHAnsi"/>
          <w:lang w:val="en-US"/>
        </w:rPr>
      </w:pPr>
      <w:r w:rsidRPr="00863869">
        <w:rPr>
          <w:rFonts w:asciiTheme="majorHAnsi" w:hAnsiTheme="majorHAnsi" w:cstheme="majorHAnsi"/>
        </w:rPr>
        <w:t>This dataset provides valuable context for understanding global living standards and economic disparities. It can be used to compare how income levels relate to living costs across different parts of the world and to analyze how these relationships change over time. Researchers, policymakers, and economists may find this dataset useful for examining patterns in economic development, affordability, and regional differences in living conditions.</w:t>
      </w:r>
    </w:p>
    <w:p w14:paraId="5A439EB7" w14:textId="54A69262" w:rsidR="00422AF9" w:rsidRPr="00863869" w:rsidRDefault="00422AF9" w:rsidP="00422AF9">
      <w:pPr>
        <w:pStyle w:val="ListParagraph"/>
        <w:numPr>
          <w:ilvl w:val="0"/>
          <w:numId w:val="2"/>
        </w:numPr>
        <w:spacing w:after="0" w:line="360" w:lineRule="auto"/>
        <w:jc w:val="both"/>
        <w:rPr>
          <w:rFonts w:asciiTheme="majorHAnsi" w:hAnsiTheme="majorHAnsi" w:cstheme="majorHAnsi"/>
          <w:b/>
          <w:bCs/>
          <w:sz w:val="24"/>
          <w:szCs w:val="24"/>
          <w:lang w:val="en-AU"/>
        </w:rPr>
      </w:pPr>
      <w:r w:rsidRPr="00863869">
        <w:rPr>
          <w:rFonts w:asciiTheme="majorHAnsi" w:hAnsiTheme="majorHAnsi" w:cstheme="majorHAnsi"/>
          <w:b/>
          <w:bCs/>
          <w:sz w:val="24"/>
          <w:szCs w:val="24"/>
          <w:lang w:val="en-AU"/>
        </w:rPr>
        <w:lastRenderedPageBreak/>
        <w:t>Data Cleaning</w:t>
      </w:r>
    </w:p>
    <w:p w14:paraId="52647010" w14:textId="0F47C6AE" w:rsidR="008365D4" w:rsidRPr="00863869" w:rsidRDefault="008365D4" w:rsidP="008365D4">
      <w:pPr>
        <w:pStyle w:val="ListParagraph"/>
        <w:spacing w:after="0" w:line="360" w:lineRule="auto"/>
        <w:jc w:val="both"/>
        <w:rPr>
          <w:rFonts w:asciiTheme="majorHAnsi" w:hAnsiTheme="majorHAnsi" w:cstheme="majorHAnsi"/>
          <w:sz w:val="24"/>
          <w:szCs w:val="24"/>
          <w:lang w:val="en-AU"/>
        </w:rPr>
      </w:pPr>
      <w:r w:rsidRPr="00863869">
        <w:rPr>
          <w:rFonts w:asciiTheme="majorHAnsi" w:hAnsiTheme="majorHAnsi" w:cstheme="majorHAnsi"/>
          <w:sz w:val="24"/>
          <w:szCs w:val="24"/>
          <w:lang w:val="en-AU"/>
        </w:rPr>
        <w:t>Identify missing values and decide how to handle these missing values</w:t>
      </w:r>
      <w:r w:rsidR="00D61677" w:rsidRPr="00863869">
        <w:rPr>
          <w:rFonts w:asciiTheme="majorHAnsi" w:hAnsiTheme="majorHAnsi" w:cstheme="majorHAnsi"/>
          <w:sz w:val="24"/>
          <w:szCs w:val="24"/>
          <w:lang w:val="en-AU"/>
        </w:rPr>
        <w:t>:</w:t>
      </w:r>
    </w:p>
    <w:p w14:paraId="439511DB" w14:textId="50CBADDE" w:rsidR="00422AF9" w:rsidRPr="00863869" w:rsidRDefault="00422AF9" w:rsidP="00422AF9">
      <w:pPr>
        <w:spacing w:after="0" w:line="360" w:lineRule="auto"/>
        <w:ind w:left="720"/>
        <w:jc w:val="both"/>
        <w:rPr>
          <w:rFonts w:asciiTheme="majorHAnsi" w:hAnsiTheme="majorHAnsi" w:cstheme="majorHAnsi"/>
          <w:sz w:val="24"/>
          <w:szCs w:val="24"/>
          <w:lang w:val="en-AU"/>
        </w:rPr>
      </w:pPr>
    </w:p>
    <w:p w14:paraId="2D74E0B9" w14:textId="3D264B15" w:rsidR="001D05B2" w:rsidRPr="00863869" w:rsidRDefault="00225E8A" w:rsidP="006F6ACA">
      <w:pPr>
        <w:spacing w:after="0" w:line="360" w:lineRule="auto"/>
        <w:ind w:left="720"/>
        <w:jc w:val="center"/>
        <w:rPr>
          <w:rFonts w:asciiTheme="majorHAnsi" w:hAnsiTheme="majorHAnsi" w:cstheme="majorHAnsi"/>
          <w:sz w:val="24"/>
          <w:szCs w:val="24"/>
          <w:lang w:val="en-US"/>
        </w:rPr>
      </w:pPr>
      <w:r w:rsidRPr="00863869">
        <w:rPr>
          <w:rFonts w:asciiTheme="majorHAnsi" w:hAnsiTheme="majorHAnsi" w:cstheme="majorHAnsi"/>
          <w:noProof/>
          <w:sz w:val="24"/>
          <w:szCs w:val="24"/>
          <w:lang w:val="en-US"/>
        </w:rPr>
        <w:drawing>
          <wp:inline distT="0" distB="0" distL="0" distR="0" wp14:anchorId="011B2F43" wp14:editId="36306801">
            <wp:extent cx="3164270" cy="2348838"/>
            <wp:effectExtent l="0" t="0" r="0" b="0"/>
            <wp:docPr id="15179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3979" name=""/>
                    <pic:cNvPicPr/>
                  </pic:nvPicPr>
                  <pic:blipFill>
                    <a:blip r:embed="rId6"/>
                    <a:stretch>
                      <a:fillRect/>
                    </a:stretch>
                  </pic:blipFill>
                  <pic:spPr>
                    <a:xfrm>
                      <a:off x="0" y="0"/>
                      <a:ext cx="3166264" cy="2350318"/>
                    </a:xfrm>
                    <a:prstGeom prst="rect">
                      <a:avLst/>
                    </a:prstGeom>
                  </pic:spPr>
                </pic:pic>
              </a:graphicData>
            </a:graphic>
          </wp:inline>
        </w:drawing>
      </w:r>
    </w:p>
    <w:p w14:paraId="0F7E2066" w14:textId="4BE6C2E7" w:rsidR="00D61B9E" w:rsidRPr="00863869" w:rsidRDefault="00D61B9E" w:rsidP="00D61B9E">
      <w:pPr>
        <w:pStyle w:val="NormalWeb"/>
        <w:ind w:left="720"/>
        <w:rPr>
          <w:rFonts w:asciiTheme="majorHAnsi" w:hAnsiTheme="majorHAnsi" w:cstheme="majorHAnsi"/>
          <w:lang w:val="en-US"/>
        </w:rPr>
      </w:pPr>
      <w:r w:rsidRPr="00863869">
        <w:rPr>
          <w:rFonts w:asciiTheme="majorHAnsi" w:hAnsiTheme="majorHAnsi" w:cstheme="majorHAnsi"/>
          <w:lang w:val="en-US"/>
        </w:rPr>
        <w:t>Fi</w:t>
      </w:r>
      <w:r w:rsidRPr="00863869">
        <w:rPr>
          <w:rFonts w:asciiTheme="majorHAnsi" w:hAnsiTheme="majorHAnsi" w:cstheme="majorHAnsi"/>
        </w:rPr>
        <w:t>ltering the Average_Monthly_Income column</w:t>
      </w:r>
      <w:r w:rsidR="00324D19" w:rsidRPr="00863869">
        <w:rPr>
          <w:rFonts w:asciiTheme="majorHAnsi" w:hAnsiTheme="majorHAnsi" w:cstheme="majorHAnsi"/>
          <w:lang w:val="en-US"/>
        </w:rPr>
        <w:t xml:space="preserve"> by unselecting all then choosing blanks.</w:t>
      </w:r>
    </w:p>
    <w:p w14:paraId="48C7557E" w14:textId="6EF7E50C" w:rsidR="00422AF9" w:rsidRPr="00863869" w:rsidRDefault="00FB262C" w:rsidP="00422AF9">
      <w:pPr>
        <w:pStyle w:val="NormalWeb"/>
        <w:ind w:left="720"/>
        <w:rPr>
          <w:rFonts w:asciiTheme="majorHAnsi" w:hAnsiTheme="majorHAnsi" w:cstheme="majorHAnsi"/>
          <w:lang w:val="en-AU"/>
        </w:rPr>
      </w:pPr>
      <w:r w:rsidRPr="00863869">
        <w:rPr>
          <w:rFonts w:asciiTheme="majorHAnsi" w:hAnsiTheme="majorHAnsi" w:cstheme="majorHAnsi"/>
          <w:noProof/>
          <w:lang w:val="en-AU"/>
        </w:rPr>
        <w:drawing>
          <wp:inline distT="0" distB="0" distL="0" distR="0" wp14:anchorId="371ADF11" wp14:editId="00DA1466">
            <wp:extent cx="5731510" cy="601345"/>
            <wp:effectExtent l="0" t="0" r="2540" b="8255"/>
            <wp:docPr id="156948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83751" name=""/>
                    <pic:cNvPicPr/>
                  </pic:nvPicPr>
                  <pic:blipFill>
                    <a:blip r:embed="rId7"/>
                    <a:stretch>
                      <a:fillRect/>
                    </a:stretch>
                  </pic:blipFill>
                  <pic:spPr>
                    <a:xfrm>
                      <a:off x="0" y="0"/>
                      <a:ext cx="5731510" cy="601345"/>
                    </a:xfrm>
                    <a:prstGeom prst="rect">
                      <a:avLst/>
                    </a:prstGeom>
                  </pic:spPr>
                </pic:pic>
              </a:graphicData>
            </a:graphic>
          </wp:inline>
        </w:drawing>
      </w:r>
    </w:p>
    <w:p w14:paraId="5975A53C" w14:textId="682B1ECE" w:rsidR="004051EB" w:rsidRPr="00863869" w:rsidRDefault="009E5B50" w:rsidP="00422AF9">
      <w:pPr>
        <w:pStyle w:val="NormalWeb"/>
        <w:ind w:left="720"/>
        <w:rPr>
          <w:rFonts w:asciiTheme="majorHAnsi" w:hAnsiTheme="majorHAnsi" w:cstheme="majorHAnsi"/>
          <w:lang w:val="en-AU"/>
        </w:rPr>
      </w:pPr>
      <w:r w:rsidRPr="00863869">
        <w:rPr>
          <w:rFonts w:asciiTheme="majorHAnsi" w:hAnsiTheme="majorHAnsi" w:cstheme="majorHAnsi"/>
          <w:lang w:val="en-AU"/>
        </w:rPr>
        <w:t>After that, the missing values appear in column C (Average_Monthly_Income) at rows 162 and 178.</w:t>
      </w:r>
    </w:p>
    <w:p w14:paraId="5121C57B" w14:textId="311BB93D" w:rsidR="00112E66" w:rsidRPr="00863869" w:rsidRDefault="00295458" w:rsidP="00295458">
      <w:pPr>
        <w:pStyle w:val="NormalWeb"/>
        <w:ind w:left="720"/>
        <w:jc w:val="center"/>
        <w:rPr>
          <w:rFonts w:asciiTheme="majorHAnsi" w:hAnsiTheme="majorHAnsi" w:cstheme="majorHAnsi"/>
          <w:lang w:val="en-AU"/>
        </w:rPr>
      </w:pPr>
      <w:r w:rsidRPr="00863869">
        <w:rPr>
          <w:rFonts w:asciiTheme="majorHAnsi" w:hAnsiTheme="majorHAnsi" w:cstheme="majorHAnsi"/>
          <w:noProof/>
          <w:lang w:val="en-AU"/>
        </w:rPr>
        <w:drawing>
          <wp:inline distT="0" distB="0" distL="0" distR="0" wp14:anchorId="0F9E310E" wp14:editId="26644824">
            <wp:extent cx="2608418" cy="1630189"/>
            <wp:effectExtent l="0" t="0" r="1905" b="8255"/>
            <wp:docPr id="67844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49523" name=""/>
                    <pic:cNvPicPr/>
                  </pic:nvPicPr>
                  <pic:blipFill>
                    <a:blip r:embed="rId8"/>
                    <a:stretch>
                      <a:fillRect/>
                    </a:stretch>
                  </pic:blipFill>
                  <pic:spPr>
                    <a:xfrm>
                      <a:off x="0" y="0"/>
                      <a:ext cx="2608418" cy="1630189"/>
                    </a:xfrm>
                    <a:prstGeom prst="rect">
                      <a:avLst/>
                    </a:prstGeom>
                  </pic:spPr>
                </pic:pic>
              </a:graphicData>
            </a:graphic>
          </wp:inline>
        </w:drawing>
      </w:r>
    </w:p>
    <w:p w14:paraId="02E3F2A6" w14:textId="4E87D798" w:rsidR="00D353FA" w:rsidRPr="00D353FA" w:rsidRDefault="00D353FA" w:rsidP="00D353FA">
      <w:pPr>
        <w:pStyle w:val="NormalWeb"/>
        <w:ind w:left="720"/>
        <w:rPr>
          <w:rFonts w:asciiTheme="majorHAnsi" w:hAnsiTheme="majorHAnsi" w:cstheme="majorHAnsi"/>
          <w:lang w:val="en-US"/>
        </w:rPr>
      </w:pPr>
      <w:r w:rsidRPr="00D353FA">
        <w:rPr>
          <w:rFonts w:asciiTheme="majorHAnsi" w:hAnsiTheme="majorHAnsi" w:cstheme="majorHAnsi"/>
          <w:lang w:val="en-US"/>
        </w:rPr>
        <w:t xml:space="preserve">To </w:t>
      </w:r>
      <w:r w:rsidR="00A76416">
        <w:rPr>
          <w:rFonts w:asciiTheme="majorHAnsi" w:hAnsiTheme="majorHAnsi" w:cstheme="majorHAnsi"/>
          <w:lang w:val="en-US"/>
        </w:rPr>
        <w:t xml:space="preserve">deal with </w:t>
      </w:r>
      <w:r w:rsidR="003422DB">
        <w:rPr>
          <w:rFonts w:asciiTheme="majorHAnsi" w:hAnsiTheme="majorHAnsi" w:cstheme="majorHAnsi"/>
          <w:lang w:val="en-US"/>
        </w:rPr>
        <w:t>this</w:t>
      </w:r>
      <w:r w:rsidRPr="00D353FA">
        <w:rPr>
          <w:rFonts w:asciiTheme="majorHAnsi" w:hAnsiTheme="majorHAnsi" w:cstheme="majorHAnsi"/>
          <w:lang w:val="en-US"/>
        </w:rPr>
        <w:t xml:space="preserve">, I </w:t>
      </w:r>
      <w:r w:rsidR="003422DB">
        <w:rPr>
          <w:rFonts w:asciiTheme="majorHAnsi" w:hAnsiTheme="majorHAnsi" w:cstheme="majorHAnsi"/>
          <w:lang w:val="en-US"/>
        </w:rPr>
        <w:t>chose</w:t>
      </w:r>
      <w:r w:rsidRPr="00D353FA">
        <w:rPr>
          <w:rFonts w:asciiTheme="majorHAnsi" w:hAnsiTheme="majorHAnsi" w:cstheme="majorHAnsi"/>
          <w:lang w:val="en-US"/>
        </w:rPr>
        <w:t xml:space="preserve"> to use deletion (omission), </w:t>
      </w:r>
      <w:r w:rsidR="00A76416">
        <w:rPr>
          <w:rFonts w:asciiTheme="majorHAnsi" w:hAnsiTheme="majorHAnsi" w:cstheme="majorHAnsi"/>
          <w:lang w:val="en-US"/>
        </w:rPr>
        <w:t>because</w:t>
      </w:r>
      <w:r w:rsidR="005A4A6F">
        <w:rPr>
          <w:rFonts w:asciiTheme="majorHAnsi" w:hAnsiTheme="majorHAnsi" w:cstheme="majorHAnsi"/>
          <w:lang w:val="en-US"/>
        </w:rPr>
        <w:t xml:space="preserve"> this</w:t>
      </w:r>
      <w:r w:rsidRPr="00D353FA">
        <w:rPr>
          <w:rFonts w:asciiTheme="majorHAnsi" w:hAnsiTheme="majorHAnsi" w:cstheme="majorHAnsi"/>
          <w:lang w:val="en-US"/>
        </w:rPr>
        <w:t xml:space="preserve"> is a simple and safe way to clean data. In this method, any row with missing information is removed rather than try to guess or fill in the blanks. I chose this method because it keeps my data honest</w:t>
      </w:r>
      <w:r w:rsidR="00907A71">
        <w:rPr>
          <w:rFonts w:asciiTheme="majorHAnsi" w:hAnsiTheme="majorHAnsi" w:cstheme="majorHAnsi"/>
          <w:lang w:val="en-US"/>
        </w:rPr>
        <w:t xml:space="preserve">, </w:t>
      </w:r>
      <w:r w:rsidRPr="00D353FA">
        <w:rPr>
          <w:rFonts w:asciiTheme="majorHAnsi" w:hAnsiTheme="majorHAnsi" w:cstheme="majorHAnsi"/>
          <w:lang w:val="en-US"/>
        </w:rPr>
        <w:t>not estimated. In Excel, I did this by selecting the two rows with missing income values, right</w:t>
      </w:r>
      <w:r w:rsidR="009E6782">
        <w:rPr>
          <w:rFonts w:asciiTheme="majorHAnsi" w:hAnsiTheme="majorHAnsi" w:cstheme="majorHAnsi"/>
          <w:lang w:val="en-US"/>
        </w:rPr>
        <w:t xml:space="preserve"> </w:t>
      </w:r>
      <w:r w:rsidRPr="00D353FA">
        <w:rPr>
          <w:rFonts w:asciiTheme="majorHAnsi" w:hAnsiTheme="majorHAnsi" w:cstheme="majorHAnsi"/>
          <w:lang w:val="en-US"/>
        </w:rPr>
        <w:t>clicking, and choosing “Delete entire row.” After doing this, the dataset went from 202 rows to 200 rows.</w:t>
      </w:r>
    </w:p>
    <w:p w14:paraId="52F9AF87" w14:textId="1B7F19CE" w:rsidR="00D353FA" w:rsidRPr="00D353FA" w:rsidRDefault="00D353FA" w:rsidP="00D353FA">
      <w:pPr>
        <w:pStyle w:val="NormalWeb"/>
        <w:ind w:left="720"/>
        <w:rPr>
          <w:rFonts w:asciiTheme="majorHAnsi" w:hAnsiTheme="majorHAnsi" w:cstheme="majorHAnsi"/>
          <w:lang w:val="en-US"/>
        </w:rPr>
      </w:pPr>
      <w:r w:rsidRPr="00D353FA">
        <w:rPr>
          <w:rFonts w:asciiTheme="majorHAnsi" w:hAnsiTheme="majorHAnsi" w:cstheme="majorHAnsi"/>
          <w:lang w:val="en-US"/>
        </w:rPr>
        <w:t>I used deletion because the proportion of the data missing is small</w:t>
      </w:r>
      <w:r w:rsidR="002C7DA9">
        <w:rPr>
          <w:rFonts w:asciiTheme="majorHAnsi" w:hAnsiTheme="majorHAnsi" w:cstheme="majorHAnsi"/>
          <w:lang w:val="en-US"/>
        </w:rPr>
        <w:t xml:space="preserve"> </w:t>
      </w:r>
      <w:r w:rsidR="00B07583">
        <w:rPr>
          <w:rFonts w:asciiTheme="majorHAnsi" w:hAnsiTheme="majorHAnsi" w:cstheme="majorHAnsi"/>
          <w:lang w:val="en-US"/>
        </w:rPr>
        <w:t xml:space="preserve">just </w:t>
      </w:r>
      <w:r w:rsidRPr="00D353FA">
        <w:rPr>
          <w:rFonts w:asciiTheme="majorHAnsi" w:hAnsiTheme="majorHAnsi" w:cstheme="majorHAnsi"/>
          <w:lang w:val="en-US"/>
        </w:rPr>
        <w:t>less than 1%</w:t>
      </w:r>
      <w:r w:rsidR="00B07583">
        <w:rPr>
          <w:rFonts w:asciiTheme="majorHAnsi" w:hAnsiTheme="majorHAnsi" w:cstheme="majorHAnsi"/>
          <w:lang w:val="en-US"/>
        </w:rPr>
        <w:t>, therefore</w:t>
      </w:r>
      <w:r w:rsidR="002C7DA9">
        <w:rPr>
          <w:rFonts w:asciiTheme="majorHAnsi" w:hAnsiTheme="majorHAnsi" w:cstheme="majorHAnsi"/>
          <w:lang w:val="en-US"/>
        </w:rPr>
        <w:t xml:space="preserve"> </w:t>
      </w:r>
      <w:r w:rsidRPr="00D353FA">
        <w:rPr>
          <w:rFonts w:asciiTheme="majorHAnsi" w:hAnsiTheme="majorHAnsi" w:cstheme="majorHAnsi"/>
          <w:lang w:val="en-US"/>
        </w:rPr>
        <w:t xml:space="preserve">removing those rows doesn't affect my results much. It's a simple, clear, and </w:t>
      </w:r>
      <w:r w:rsidRPr="00D353FA">
        <w:rPr>
          <w:rFonts w:asciiTheme="majorHAnsi" w:hAnsiTheme="majorHAnsi" w:cstheme="majorHAnsi"/>
          <w:lang w:val="en-US"/>
        </w:rPr>
        <w:lastRenderedPageBreak/>
        <w:t>safe choice that helps make sure my findings are accurate and based only on complete information.</w:t>
      </w:r>
    </w:p>
    <w:p w14:paraId="7D06B098" w14:textId="73C23E73" w:rsidR="000F59A3" w:rsidRPr="00863869" w:rsidRDefault="000F59A3" w:rsidP="00422AF9">
      <w:pPr>
        <w:pStyle w:val="NormalWeb"/>
        <w:ind w:left="720"/>
        <w:rPr>
          <w:rFonts w:asciiTheme="majorHAnsi" w:hAnsiTheme="majorHAnsi" w:cstheme="majorHAnsi"/>
          <w:lang w:val="en-US"/>
        </w:rPr>
      </w:pPr>
      <w:r w:rsidRPr="00863869">
        <w:rPr>
          <w:rFonts w:asciiTheme="majorHAnsi" w:hAnsiTheme="majorHAnsi" w:cstheme="majorHAnsi"/>
          <w:noProof/>
          <w:lang w:val="en-US"/>
        </w:rPr>
        <w:drawing>
          <wp:inline distT="0" distB="0" distL="0" distR="0" wp14:anchorId="7DE2B217" wp14:editId="05DC07AD">
            <wp:extent cx="5731510" cy="802005"/>
            <wp:effectExtent l="0" t="0" r="2540" b="0"/>
            <wp:docPr id="167158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83945" name=""/>
                    <pic:cNvPicPr/>
                  </pic:nvPicPr>
                  <pic:blipFill>
                    <a:blip r:embed="rId9"/>
                    <a:stretch>
                      <a:fillRect/>
                    </a:stretch>
                  </pic:blipFill>
                  <pic:spPr>
                    <a:xfrm>
                      <a:off x="0" y="0"/>
                      <a:ext cx="5731510" cy="802005"/>
                    </a:xfrm>
                    <a:prstGeom prst="rect">
                      <a:avLst/>
                    </a:prstGeom>
                  </pic:spPr>
                </pic:pic>
              </a:graphicData>
            </a:graphic>
          </wp:inline>
        </w:drawing>
      </w:r>
    </w:p>
    <w:p w14:paraId="17EDF619" w14:textId="4DD2C432" w:rsidR="009E3B4B" w:rsidRPr="00863869" w:rsidRDefault="009E3B4B" w:rsidP="009E3B4B">
      <w:pPr>
        <w:pStyle w:val="NormalWeb"/>
        <w:ind w:left="720"/>
        <w:rPr>
          <w:rFonts w:asciiTheme="majorHAnsi" w:hAnsiTheme="majorHAnsi" w:cstheme="majorHAnsi"/>
          <w:lang w:val="en-US"/>
        </w:rPr>
      </w:pPr>
      <w:r w:rsidRPr="00863869">
        <w:rPr>
          <w:rFonts w:asciiTheme="majorHAnsi" w:hAnsiTheme="majorHAnsi" w:cstheme="majorHAnsi"/>
          <w:lang w:val="en-US"/>
        </w:rPr>
        <w:t>Fi</w:t>
      </w:r>
      <w:r w:rsidRPr="00863869">
        <w:rPr>
          <w:rFonts w:asciiTheme="majorHAnsi" w:hAnsiTheme="majorHAnsi" w:cstheme="majorHAnsi"/>
        </w:rPr>
        <w:t xml:space="preserve">ltering the </w:t>
      </w:r>
      <w:r w:rsidRPr="00863869">
        <w:rPr>
          <w:rFonts w:asciiTheme="majorHAnsi" w:hAnsiTheme="majorHAnsi" w:cstheme="majorHAnsi"/>
          <w:lang w:val="en-US"/>
        </w:rPr>
        <w:t xml:space="preserve">Region </w:t>
      </w:r>
      <w:r w:rsidR="00E7423A" w:rsidRPr="00863869">
        <w:rPr>
          <w:rFonts w:asciiTheme="majorHAnsi" w:hAnsiTheme="majorHAnsi" w:cstheme="majorHAnsi"/>
          <w:lang w:val="en-US"/>
        </w:rPr>
        <w:t xml:space="preserve">column </w:t>
      </w:r>
      <w:r w:rsidRPr="00863869">
        <w:rPr>
          <w:rFonts w:asciiTheme="majorHAnsi" w:hAnsiTheme="majorHAnsi" w:cstheme="majorHAnsi"/>
          <w:lang w:val="en-US"/>
        </w:rPr>
        <w:t xml:space="preserve">by unselecting all </w:t>
      </w:r>
      <w:r w:rsidR="0002460A" w:rsidRPr="00863869">
        <w:rPr>
          <w:rFonts w:asciiTheme="majorHAnsi" w:hAnsiTheme="majorHAnsi" w:cstheme="majorHAnsi"/>
          <w:lang w:val="en-US"/>
        </w:rPr>
        <w:t xml:space="preserve">and </w:t>
      </w:r>
      <w:r w:rsidRPr="00863869">
        <w:rPr>
          <w:rFonts w:asciiTheme="majorHAnsi" w:hAnsiTheme="majorHAnsi" w:cstheme="majorHAnsi"/>
          <w:lang w:val="en-US"/>
        </w:rPr>
        <w:t xml:space="preserve">then choosing blanks. </w:t>
      </w:r>
      <w:r w:rsidRPr="00863869">
        <w:rPr>
          <w:rFonts w:asciiTheme="majorHAnsi" w:hAnsiTheme="majorHAnsi" w:cstheme="majorHAnsi"/>
          <w:lang w:val="en-AU"/>
        </w:rPr>
        <w:t xml:space="preserve">After that, the missing values are in column </w:t>
      </w:r>
      <w:r w:rsidR="00C51A09" w:rsidRPr="00863869">
        <w:rPr>
          <w:rFonts w:asciiTheme="majorHAnsi" w:hAnsiTheme="majorHAnsi" w:cstheme="majorHAnsi"/>
          <w:lang w:val="en-AU"/>
        </w:rPr>
        <w:t>E</w:t>
      </w:r>
      <w:r w:rsidRPr="00863869">
        <w:rPr>
          <w:rFonts w:asciiTheme="majorHAnsi" w:hAnsiTheme="majorHAnsi" w:cstheme="majorHAnsi"/>
          <w:lang w:val="en-AU"/>
        </w:rPr>
        <w:t xml:space="preserve"> (</w:t>
      </w:r>
      <w:r w:rsidR="00C51A09" w:rsidRPr="00863869">
        <w:rPr>
          <w:rFonts w:asciiTheme="majorHAnsi" w:hAnsiTheme="majorHAnsi" w:cstheme="majorHAnsi"/>
          <w:lang w:val="en-AU"/>
        </w:rPr>
        <w:t>Region</w:t>
      </w:r>
      <w:r w:rsidRPr="00863869">
        <w:rPr>
          <w:rFonts w:asciiTheme="majorHAnsi" w:hAnsiTheme="majorHAnsi" w:cstheme="majorHAnsi"/>
          <w:lang w:val="en-AU"/>
        </w:rPr>
        <w:t xml:space="preserve">) at rows </w:t>
      </w:r>
      <w:r w:rsidR="00C51A09" w:rsidRPr="00863869">
        <w:rPr>
          <w:rFonts w:asciiTheme="majorHAnsi" w:hAnsiTheme="majorHAnsi" w:cstheme="majorHAnsi"/>
          <w:lang w:val="en-AU"/>
        </w:rPr>
        <w:t xml:space="preserve">26 </w:t>
      </w:r>
      <w:r w:rsidRPr="00863869">
        <w:rPr>
          <w:rFonts w:asciiTheme="majorHAnsi" w:hAnsiTheme="majorHAnsi" w:cstheme="majorHAnsi"/>
          <w:lang w:val="en-AU"/>
        </w:rPr>
        <w:t xml:space="preserve">and </w:t>
      </w:r>
      <w:r w:rsidR="00C51A09" w:rsidRPr="00863869">
        <w:rPr>
          <w:rFonts w:asciiTheme="majorHAnsi" w:hAnsiTheme="majorHAnsi" w:cstheme="majorHAnsi"/>
          <w:lang w:val="en-AU"/>
        </w:rPr>
        <w:t>39</w:t>
      </w:r>
      <w:r w:rsidR="005D76C9" w:rsidRPr="00863869">
        <w:rPr>
          <w:rFonts w:asciiTheme="majorHAnsi" w:hAnsiTheme="majorHAnsi" w:cstheme="majorHAnsi"/>
          <w:lang w:val="en-AU"/>
        </w:rPr>
        <w:t xml:space="preserve">, </w:t>
      </w:r>
      <w:r w:rsidR="005D76C9" w:rsidRPr="00863869">
        <w:rPr>
          <w:rFonts w:asciiTheme="majorHAnsi" w:hAnsiTheme="majorHAnsi" w:cstheme="majorHAnsi"/>
          <w:lang w:val="en-US"/>
        </w:rPr>
        <w:t>b</w:t>
      </w:r>
      <w:r w:rsidR="005D76C9" w:rsidRPr="00863869">
        <w:rPr>
          <w:rFonts w:asciiTheme="majorHAnsi" w:hAnsiTheme="majorHAnsi" w:cstheme="majorHAnsi"/>
        </w:rPr>
        <w:t>oth belonged to Mexico in the years 2000 and 2003</w:t>
      </w:r>
      <w:r w:rsidR="005D76C9" w:rsidRPr="00863869">
        <w:rPr>
          <w:rFonts w:asciiTheme="majorHAnsi" w:hAnsiTheme="majorHAnsi" w:cstheme="majorHAnsi"/>
          <w:lang w:val="en-US"/>
        </w:rPr>
        <w:t>.</w:t>
      </w:r>
    </w:p>
    <w:p w14:paraId="19A25553" w14:textId="54B08CBC" w:rsidR="00351D7A" w:rsidRPr="00863869" w:rsidRDefault="00351D7A" w:rsidP="00351D7A">
      <w:pPr>
        <w:pStyle w:val="NormalWeb"/>
        <w:ind w:left="720"/>
        <w:rPr>
          <w:rFonts w:asciiTheme="majorHAnsi" w:hAnsiTheme="majorHAnsi" w:cstheme="majorHAnsi"/>
          <w:lang w:val="en-US"/>
        </w:rPr>
      </w:pPr>
      <w:r w:rsidRPr="00863869">
        <w:rPr>
          <w:rFonts w:asciiTheme="majorHAnsi" w:hAnsiTheme="majorHAnsi" w:cstheme="majorHAnsi"/>
        </w:rPr>
        <w:t>To fix this, I used manual imputation, which means filling in the missing data by hand. Since Mexico is in North America, I replaced both missing Region values with “North America.” This method is simple, accurate, and makes sure the data matches real-world information.</w:t>
      </w:r>
    </w:p>
    <w:p w14:paraId="736E0FF9" w14:textId="389F4ECF" w:rsidR="00D61677" w:rsidRPr="00863869" w:rsidRDefault="00D61677" w:rsidP="00D61677">
      <w:pPr>
        <w:pStyle w:val="ListParagraph"/>
        <w:numPr>
          <w:ilvl w:val="0"/>
          <w:numId w:val="12"/>
        </w:numPr>
        <w:spacing w:after="0" w:line="360" w:lineRule="auto"/>
        <w:jc w:val="both"/>
        <w:rPr>
          <w:rFonts w:asciiTheme="majorHAnsi" w:hAnsiTheme="majorHAnsi" w:cstheme="majorHAnsi"/>
          <w:sz w:val="24"/>
          <w:szCs w:val="24"/>
          <w:lang w:val="en-AU"/>
        </w:rPr>
      </w:pPr>
      <w:r w:rsidRPr="00863869">
        <w:rPr>
          <w:rFonts w:asciiTheme="majorHAnsi" w:hAnsiTheme="majorHAnsi" w:cstheme="majorHAnsi"/>
          <w:sz w:val="24"/>
          <w:szCs w:val="24"/>
          <w:lang w:val="en-AU"/>
        </w:rPr>
        <w:t>Identify any duplicate rows and remove duplicate rows if necessary</w:t>
      </w:r>
    </w:p>
    <w:p w14:paraId="515FDD98" w14:textId="5A06072C" w:rsidR="003F1D37" w:rsidRPr="00863869" w:rsidRDefault="003F1D37" w:rsidP="003F1D37">
      <w:pPr>
        <w:pStyle w:val="NormalWeb"/>
        <w:ind w:left="720"/>
        <w:jc w:val="center"/>
        <w:rPr>
          <w:rFonts w:asciiTheme="majorHAnsi" w:hAnsiTheme="majorHAnsi" w:cstheme="majorHAnsi"/>
          <w:lang w:val="en-US"/>
        </w:rPr>
      </w:pPr>
      <w:r w:rsidRPr="00863869">
        <w:rPr>
          <w:rFonts w:asciiTheme="majorHAnsi" w:hAnsiTheme="majorHAnsi" w:cstheme="majorHAnsi"/>
          <w:noProof/>
          <w:lang w:val="en-US"/>
        </w:rPr>
        <w:drawing>
          <wp:inline distT="0" distB="0" distL="0" distR="0" wp14:anchorId="344DFC4D" wp14:editId="7D5BA627">
            <wp:extent cx="2942243" cy="1838821"/>
            <wp:effectExtent l="0" t="0" r="0" b="9525"/>
            <wp:docPr id="122279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4903" name=""/>
                    <pic:cNvPicPr/>
                  </pic:nvPicPr>
                  <pic:blipFill>
                    <a:blip r:embed="rId10"/>
                    <a:stretch>
                      <a:fillRect/>
                    </a:stretch>
                  </pic:blipFill>
                  <pic:spPr>
                    <a:xfrm>
                      <a:off x="0" y="0"/>
                      <a:ext cx="2952174" cy="1845028"/>
                    </a:xfrm>
                    <a:prstGeom prst="rect">
                      <a:avLst/>
                    </a:prstGeom>
                  </pic:spPr>
                </pic:pic>
              </a:graphicData>
            </a:graphic>
          </wp:inline>
        </w:drawing>
      </w:r>
    </w:p>
    <w:p w14:paraId="0887991C" w14:textId="1CA57A5F" w:rsidR="001B437E" w:rsidRPr="00863869" w:rsidRDefault="001B437E" w:rsidP="001B437E">
      <w:pPr>
        <w:pStyle w:val="NormalWeb"/>
        <w:ind w:left="720"/>
        <w:rPr>
          <w:rFonts w:asciiTheme="majorHAnsi" w:hAnsiTheme="majorHAnsi" w:cstheme="majorHAnsi"/>
          <w:lang w:val="en-US"/>
        </w:rPr>
      </w:pPr>
      <w:r w:rsidRPr="00863869">
        <w:rPr>
          <w:rFonts w:asciiTheme="majorHAnsi" w:hAnsiTheme="majorHAnsi" w:cstheme="majorHAnsi"/>
        </w:rPr>
        <w:t xml:space="preserve">After deleting the two rows with missing income data, I had </w:t>
      </w:r>
      <w:r w:rsidR="005D7250" w:rsidRPr="00863869">
        <w:rPr>
          <w:rFonts w:asciiTheme="majorHAnsi" w:hAnsiTheme="majorHAnsi" w:cstheme="majorHAnsi"/>
          <w:lang w:val="en-US"/>
        </w:rPr>
        <w:t>200</w:t>
      </w:r>
      <w:r w:rsidRPr="00863869">
        <w:rPr>
          <w:rFonts w:asciiTheme="majorHAnsi" w:hAnsiTheme="majorHAnsi" w:cstheme="majorHAnsi"/>
        </w:rPr>
        <w:t xml:space="preserve"> records left</w:t>
      </w:r>
      <w:r w:rsidR="007065EC">
        <w:rPr>
          <w:rFonts w:asciiTheme="majorHAnsi" w:hAnsiTheme="majorHAnsi" w:cstheme="majorHAnsi"/>
          <w:lang w:val="en-US"/>
        </w:rPr>
        <w:t>, then I</w:t>
      </w:r>
      <w:r w:rsidRPr="00863869">
        <w:rPr>
          <w:rFonts w:asciiTheme="majorHAnsi" w:hAnsiTheme="majorHAnsi" w:cstheme="majorHAnsi"/>
        </w:rPr>
        <w:t xml:space="preserve"> then used Excel’s “Remove Duplicates” tool, which deleted two identical rows, leaving 19</w:t>
      </w:r>
      <w:r w:rsidR="00714B7A">
        <w:rPr>
          <w:rFonts w:asciiTheme="majorHAnsi" w:hAnsiTheme="majorHAnsi" w:cstheme="majorHAnsi"/>
          <w:lang w:val="en-US"/>
        </w:rPr>
        <w:t>7</w:t>
      </w:r>
      <w:r w:rsidRPr="00863869">
        <w:rPr>
          <w:rFonts w:asciiTheme="majorHAnsi" w:hAnsiTheme="majorHAnsi" w:cstheme="majorHAnsi"/>
        </w:rPr>
        <w:t xml:space="preserve"> unique rows. This cleaned out perfect duplicates without losing any real information.</w:t>
      </w:r>
    </w:p>
    <w:p w14:paraId="5E5DF2E3" w14:textId="0DD34AA7" w:rsidR="00D61677" w:rsidRPr="00863869" w:rsidRDefault="00D61677" w:rsidP="00D61677">
      <w:pPr>
        <w:pStyle w:val="ListParagraph"/>
        <w:numPr>
          <w:ilvl w:val="0"/>
          <w:numId w:val="2"/>
        </w:numPr>
        <w:spacing w:after="0" w:line="360" w:lineRule="auto"/>
        <w:jc w:val="both"/>
        <w:rPr>
          <w:rFonts w:asciiTheme="majorHAnsi" w:hAnsiTheme="majorHAnsi" w:cstheme="majorHAnsi"/>
          <w:b/>
          <w:bCs/>
          <w:sz w:val="24"/>
          <w:szCs w:val="24"/>
          <w:lang w:val="en-AU"/>
        </w:rPr>
      </w:pPr>
      <w:r w:rsidRPr="00863869">
        <w:rPr>
          <w:rFonts w:asciiTheme="majorHAnsi" w:hAnsiTheme="majorHAnsi" w:cstheme="majorHAnsi"/>
          <w:b/>
          <w:bCs/>
          <w:sz w:val="24"/>
          <w:szCs w:val="24"/>
          <w:lang w:val="en-AU"/>
        </w:rPr>
        <w:t>Descriptive Statistics</w:t>
      </w:r>
    </w:p>
    <w:p w14:paraId="4F999A8E" w14:textId="4A2EB1E4" w:rsidR="00801FB4" w:rsidRPr="00863869" w:rsidRDefault="00801FB4" w:rsidP="00801FB4">
      <w:pPr>
        <w:pStyle w:val="ListParagraph"/>
        <w:spacing w:after="0" w:line="360" w:lineRule="auto"/>
        <w:jc w:val="both"/>
        <w:rPr>
          <w:rFonts w:asciiTheme="majorHAnsi" w:hAnsiTheme="majorHAnsi" w:cstheme="majorHAnsi"/>
          <w:b/>
          <w:bCs/>
          <w:sz w:val="24"/>
          <w:szCs w:val="24"/>
          <w:lang w:val="en-AU"/>
        </w:rPr>
      </w:pPr>
    </w:p>
    <w:p w14:paraId="46704C34" w14:textId="3F58FBD5" w:rsidR="002D544F" w:rsidRDefault="003976F5" w:rsidP="0080308A">
      <w:pPr>
        <w:pStyle w:val="ListParagraph"/>
        <w:spacing w:after="0" w:line="360" w:lineRule="auto"/>
        <w:jc w:val="center"/>
        <w:rPr>
          <w:rFonts w:asciiTheme="majorHAnsi" w:hAnsiTheme="majorHAnsi" w:cstheme="majorHAnsi"/>
          <w:b/>
          <w:bCs/>
          <w:sz w:val="24"/>
          <w:szCs w:val="24"/>
          <w:lang w:val="en-AU"/>
        </w:rPr>
      </w:pPr>
      <w:r w:rsidRPr="00863869">
        <w:rPr>
          <w:rFonts w:asciiTheme="majorHAnsi" w:hAnsiTheme="majorHAnsi" w:cstheme="majorHAnsi"/>
          <w:b/>
          <w:bCs/>
          <w:noProof/>
          <w:sz w:val="24"/>
          <w:szCs w:val="24"/>
          <w:lang w:val="en-AU"/>
        </w:rPr>
        <w:drawing>
          <wp:inline distT="0" distB="0" distL="0" distR="0" wp14:anchorId="6DDCF5A3" wp14:editId="59A40744">
            <wp:extent cx="4094695" cy="1681701"/>
            <wp:effectExtent l="0" t="0" r="1270" b="0"/>
            <wp:docPr id="177970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8189" name=""/>
                    <pic:cNvPicPr/>
                  </pic:nvPicPr>
                  <pic:blipFill>
                    <a:blip r:embed="rId11"/>
                    <a:stretch>
                      <a:fillRect/>
                    </a:stretch>
                  </pic:blipFill>
                  <pic:spPr>
                    <a:xfrm>
                      <a:off x="0" y="0"/>
                      <a:ext cx="4094695" cy="1681701"/>
                    </a:xfrm>
                    <a:prstGeom prst="rect">
                      <a:avLst/>
                    </a:prstGeom>
                  </pic:spPr>
                </pic:pic>
              </a:graphicData>
            </a:graphic>
          </wp:inline>
        </w:drawing>
      </w:r>
    </w:p>
    <w:p w14:paraId="5189881D" w14:textId="77777777" w:rsidR="0080308A" w:rsidRPr="0080308A" w:rsidRDefault="0080308A" w:rsidP="0080308A">
      <w:pPr>
        <w:pStyle w:val="ListParagraph"/>
        <w:spacing w:after="0" w:line="360" w:lineRule="auto"/>
        <w:jc w:val="center"/>
        <w:rPr>
          <w:rFonts w:asciiTheme="majorHAnsi" w:hAnsiTheme="majorHAnsi" w:cstheme="majorHAnsi"/>
          <w:b/>
          <w:bCs/>
          <w:sz w:val="24"/>
          <w:szCs w:val="24"/>
          <w:lang w:val="en-AU"/>
        </w:rPr>
      </w:pPr>
    </w:p>
    <w:p w14:paraId="2B132157" w14:textId="4BEC52FC" w:rsidR="00926E6E" w:rsidRDefault="002D544F" w:rsidP="00926E6E">
      <w:pPr>
        <w:pStyle w:val="ListParagraph"/>
        <w:spacing w:line="360" w:lineRule="auto"/>
        <w:jc w:val="both"/>
        <w:rPr>
          <w:rFonts w:asciiTheme="majorHAnsi" w:hAnsiTheme="majorHAnsi" w:cstheme="majorHAnsi"/>
          <w:sz w:val="24"/>
          <w:szCs w:val="24"/>
          <w:lang w:val="en-US"/>
        </w:rPr>
      </w:pPr>
      <w:r w:rsidRPr="002D544F">
        <w:rPr>
          <w:rFonts w:asciiTheme="majorHAnsi" w:hAnsiTheme="majorHAnsi" w:cstheme="majorHAnsi"/>
          <w:sz w:val="24"/>
          <w:szCs w:val="24"/>
          <w:lang w:val="en-US"/>
        </w:rPr>
        <w:t>Descriptive statistics provide an overview of the average monthly income and cost of living of 197 observations. The data indicate</w:t>
      </w:r>
      <w:r w:rsidR="000B4E81">
        <w:rPr>
          <w:rFonts w:asciiTheme="majorHAnsi" w:hAnsiTheme="majorHAnsi" w:cstheme="majorHAnsi"/>
          <w:sz w:val="24"/>
          <w:szCs w:val="24"/>
          <w:lang w:val="en-US"/>
        </w:rPr>
        <w:t>s</w:t>
      </w:r>
      <w:r w:rsidRPr="002D544F">
        <w:rPr>
          <w:rFonts w:asciiTheme="majorHAnsi" w:hAnsiTheme="majorHAnsi" w:cstheme="majorHAnsi"/>
          <w:sz w:val="24"/>
          <w:szCs w:val="24"/>
          <w:lang w:val="en-US"/>
        </w:rPr>
        <w:t xml:space="preserve"> an average monthly income of 4,243.97 with a cost</w:t>
      </w:r>
      <w:r w:rsidR="000B4E81">
        <w:rPr>
          <w:rFonts w:asciiTheme="majorHAnsi" w:hAnsiTheme="majorHAnsi" w:cstheme="majorHAnsi"/>
          <w:sz w:val="24"/>
          <w:szCs w:val="24"/>
          <w:lang w:val="en-US"/>
        </w:rPr>
        <w:t xml:space="preserve"> </w:t>
      </w:r>
      <w:r w:rsidRPr="002D544F">
        <w:rPr>
          <w:rFonts w:asciiTheme="majorHAnsi" w:hAnsiTheme="majorHAnsi" w:cstheme="majorHAnsi"/>
          <w:sz w:val="24"/>
          <w:szCs w:val="24"/>
          <w:lang w:val="en-US"/>
        </w:rPr>
        <w:t>of</w:t>
      </w:r>
      <w:r w:rsidR="000B4E81">
        <w:rPr>
          <w:rFonts w:asciiTheme="majorHAnsi" w:hAnsiTheme="majorHAnsi" w:cstheme="majorHAnsi"/>
          <w:sz w:val="24"/>
          <w:szCs w:val="24"/>
          <w:lang w:val="en-US"/>
        </w:rPr>
        <w:t xml:space="preserve"> </w:t>
      </w:r>
      <w:r w:rsidRPr="002D544F">
        <w:rPr>
          <w:rFonts w:asciiTheme="majorHAnsi" w:hAnsiTheme="majorHAnsi" w:cstheme="majorHAnsi"/>
          <w:sz w:val="24"/>
          <w:szCs w:val="24"/>
          <w:lang w:val="en-US"/>
        </w:rPr>
        <w:t xml:space="preserve">living expense of 3,697.51, resulting in a modest, but positive, cash balance averaging 546.46. The median values were </w:t>
      </w:r>
      <w:r w:rsidR="009E1163">
        <w:rPr>
          <w:rFonts w:asciiTheme="majorHAnsi" w:hAnsiTheme="majorHAnsi" w:cstheme="majorHAnsi"/>
          <w:sz w:val="24"/>
          <w:szCs w:val="24"/>
          <w:lang w:val="en-US"/>
        </w:rPr>
        <w:t>close</w:t>
      </w:r>
      <w:r w:rsidRPr="002D544F">
        <w:rPr>
          <w:rFonts w:asciiTheme="majorHAnsi" w:hAnsiTheme="majorHAnsi" w:cstheme="majorHAnsi"/>
          <w:sz w:val="24"/>
          <w:szCs w:val="24"/>
          <w:lang w:val="en-US"/>
        </w:rPr>
        <w:t xml:space="preserve"> to the means, at 4,266.46 for income and 3,649.03 for the cost of living, indicating relatively symmetric values and no particular skewness below or above the means. Both variables reflect high variability as evidenced by their standard deviations, 2,127.41 for income and 1,990.70 for the cost of living, as well as their ranges (7,441.82 and 6,516.53)</w:t>
      </w:r>
      <w:r w:rsidR="009E1163">
        <w:rPr>
          <w:rFonts w:asciiTheme="majorHAnsi" w:hAnsiTheme="majorHAnsi" w:cstheme="majorHAnsi"/>
          <w:sz w:val="24"/>
          <w:szCs w:val="24"/>
          <w:lang w:val="en-US"/>
        </w:rPr>
        <w:t>,</w:t>
      </w:r>
      <w:r w:rsidRPr="002D544F">
        <w:rPr>
          <w:rFonts w:asciiTheme="majorHAnsi" w:hAnsiTheme="majorHAnsi" w:cstheme="majorHAnsi"/>
          <w:sz w:val="24"/>
          <w:szCs w:val="24"/>
          <w:lang w:val="en-US"/>
        </w:rPr>
        <w:t xml:space="preserve"> which reflects global </w:t>
      </w:r>
      <w:r w:rsidR="004770A5">
        <w:rPr>
          <w:rFonts w:asciiTheme="majorHAnsi" w:hAnsiTheme="majorHAnsi" w:cstheme="majorHAnsi"/>
          <w:sz w:val="24"/>
          <w:szCs w:val="24"/>
          <w:lang w:val="en-US"/>
        </w:rPr>
        <w:t>differences</w:t>
      </w:r>
      <w:r w:rsidRPr="002D544F">
        <w:rPr>
          <w:rFonts w:asciiTheme="majorHAnsi" w:hAnsiTheme="majorHAnsi" w:cstheme="majorHAnsi"/>
          <w:sz w:val="24"/>
          <w:szCs w:val="24"/>
          <w:lang w:val="en-US"/>
        </w:rPr>
        <w:t xml:space="preserve"> in </w:t>
      </w:r>
      <w:r w:rsidR="00401991" w:rsidRPr="00F700B4">
        <w:rPr>
          <w:rFonts w:asciiTheme="majorHAnsi" w:hAnsiTheme="majorHAnsi" w:cstheme="majorHAnsi"/>
          <w:sz w:val="24"/>
          <w:szCs w:val="24"/>
        </w:rPr>
        <w:t>earnings and living expenses</w:t>
      </w:r>
      <w:r w:rsidR="000F7591" w:rsidRPr="00F700B4">
        <w:rPr>
          <w:rFonts w:asciiTheme="majorHAnsi" w:hAnsiTheme="majorHAnsi" w:cstheme="majorHAnsi"/>
          <w:sz w:val="24"/>
          <w:szCs w:val="24"/>
        </w:rPr>
        <w:t>. Overall, these results reveal that the average income slightly exceeds the average cost of living, significant disparities exist across countries</w:t>
      </w:r>
    </w:p>
    <w:p w14:paraId="64EAC09D" w14:textId="77777777" w:rsidR="000F7591" w:rsidRPr="000F7591" w:rsidRDefault="000F7591" w:rsidP="00926E6E">
      <w:pPr>
        <w:pStyle w:val="ListParagraph"/>
        <w:spacing w:line="360" w:lineRule="auto"/>
        <w:jc w:val="both"/>
        <w:rPr>
          <w:rFonts w:asciiTheme="majorHAnsi" w:hAnsiTheme="majorHAnsi" w:cstheme="majorHAnsi"/>
          <w:sz w:val="24"/>
          <w:szCs w:val="24"/>
          <w:lang w:val="en-US"/>
        </w:rPr>
      </w:pPr>
    </w:p>
    <w:p w14:paraId="614DBF12" w14:textId="3916E364" w:rsidR="005D52CD" w:rsidRPr="00926E6E" w:rsidRDefault="005D52CD" w:rsidP="00926E6E">
      <w:pPr>
        <w:pStyle w:val="ListParagraph"/>
        <w:spacing w:line="360" w:lineRule="auto"/>
        <w:jc w:val="both"/>
        <w:rPr>
          <w:rFonts w:asciiTheme="majorHAnsi" w:hAnsiTheme="majorHAnsi" w:cstheme="majorHAnsi"/>
        </w:rPr>
      </w:pPr>
      <w:r w:rsidRPr="00863869">
        <w:rPr>
          <w:rFonts w:asciiTheme="majorHAnsi" w:hAnsiTheme="majorHAnsi" w:cstheme="majorHAnsi"/>
          <w:sz w:val="24"/>
          <w:szCs w:val="24"/>
          <w:lang w:val="en-US"/>
        </w:rPr>
        <w:t xml:space="preserve">Insight 1: </w:t>
      </w:r>
      <w:r w:rsidR="00926E6E" w:rsidRPr="00926E6E">
        <w:rPr>
          <w:rFonts w:asciiTheme="majorHAnsi" w:hAnsiTheme="majorHAnsi" w:cstheme="majorHAnsi"/>
        </w:rPr>
        <w:t>Income and Cost of Living Variability Boxplo</w:t>
      </w:r>
      <w:r w:rsidR="00926E6E" w:rsidRPr="00926E6E">
        <w:rPr>
          <w:rFonts w:asciiTheme="majorHAnsi" w:hAnsiTheme="majorHAnsi" w:cstheme="majorHAnsi"/>
          <w:lang w:val="en-US"/>
        </w:rPr>
        <w:t>t</w:t>
      </w:r>
    </w:p>
    <w:p w14:paraId="3BBF89A4" w14:textId="605E65BE" w:rsidR="00BF5B54" w:rsidRPr="00863869" w:rsidRDefault="00753B9D" w:rsidP="00BF5B54">
      <w:pPr>
        <w:pStyle w:val="ListParagraph"/>
        <w:spacing w:line="360" w:lineRule="auto"/>
        <w:jc w:val="center"/>
        <w:rPr>
          <w:rFonts w:asciiTheme="majorHAnsi" w:hAnsiTheme="majorHAnsi" w:cstheme="majorHAnsi"/>
          <w:sz w:val="24"/>
          <w:szCs w:val="24"/>
          <w:lang w:val="en-US"/>
        </w:rPr>
      </w:pPr>
      <w:r>
        <w:rPr>
          <w:noProof/>
        </w:rPr>
        <mc:AlternateContent>
          <mc:Choice Requires="cx1">
            <w:drawing>
              <wp:inline distT="0" distB="0" distL="0" distR="0" wp14:anchorId="20721686" wp14:editId="53D6C6C1">
                <wp:extent cx="4559768" cy="2713988"/>
                <wp:effectExtent l="0" t="0" r="12700" b="10795"/>
                <wp:docPr id="1149351174" name="Chart 1">
                  <a:extLst xmlns:a="http://schemas.openxmlformats.org/drawingml/2006/main">
                    <a:ext uri="{FF2B5EF4-FFF2-40B4-BE49-F238E27FC236}">
                      <a16:creationId xmlns:a16="http://schemas.microsoft.com/office/drawing/2014/main" id="{3EB7C690-424E-90D2-8775-98F45DFB179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inline>
            </w:drawing>
          </mc:Choice>
          <mc:Fallback>
            <w:drawing>
              <wp:inline distT="0" distB="0" distL="0" distR="0" wp14:anchorId="20721686" wp14:editId="53D6C6C1">
                <wp:extent cx="4559768" cy="2713988"/>
                <wp:effectExtent l="0" t="0" r="12700" b="10795"/>
                <wp:docPr id="1149351174" name="Chart 1">
                  <a:extLst xmlns:a="http://schemas.openxmlformats.org/drawingml/2006/main">
                    <a:ext uri="{FF2B5EF4-FFF2-40B4-BE49-F238E27FC236}">
                      <a16:creationId xmlns:a16="http://schemas.microsoft.com/office/drawing/2014/main" id="{3EB7C690-424E-90D2-8775-98F45DFB179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149351174" name="Chart 1">
                          <a:extLst>
                            <a:ext uri="{FF2B5EF4-FFF2-40B4-BE49-F238E27FC236}">
                              <a16:creationId xmlns:a16="http://schemas.microsoft.com/office/drawing/2014/main" id="{3EB7C690-424E-90D2-8775-98F45DFB1792}"/>
                            </a:ext>
                          </a:extLst>
                        </pic:cNvPr>
                        <pic:cNvPicPr>
                          <a:picLocks noGrp="1" noRot="1" noChangeAspect="1" noMove="1" noResize="1" noEditPoints="1" noAdjustHandles="1" noChangeArrowheads="1" noChangeShapeType="1"/>
                        </pic:cNvPicPr>
                      </pic:nvPicPr>
                      <pic:blipFill>
                        <a:blip r:embed="rId13"/>
                        <a:stretch>
                          <a:fillRect/>
                        </a:stretch>
                      </pic:blipFill>
                      <pic:spPr>
                        <a:xfrm>
                          <a:off x="0" y="0"/>
                          <a:ext cx="4559300" cy="2713355"/>
                        </a:xfrm>
                        <a:prstGeom prst="rect">
                          <a:avLst/>
                        </a:prstGeom>
                      </pic:spPr>
                    </pic:pic>
                  </a:graphicData>
                </a:graphic>
              </wp:inline>
            </w:drawing>
          </mc:Fallback>
        </mc:AlternateContent>
      </w:r>
    </w:p>
    <w:p w14:paraId="0042DDC4" w14:textId="77777777" w:rsidR="00EB5EFC" w:rsidRDefault="00EB5EFC" w:rsidP="0075776C">
      <w:pPr>
        <w:pStyle w:val="ListParagraph"/>
        <w:spacing w:line="360" w:lineRule="auto"/>
        <w:rPr>
          <w:rFonts w:asciiTheme="majorHAnsi" w:hAnsiTheme="majorHAnsi" w:cstheme="majorHAnsi"/>
          <w:sz w:val="24"/>
          <w:szCs w:val="24"/>
          <w:lang w:val="en-US"/>
        </w:rPr>
      </w:pPr>
    </w:p>
    <w:p w14:paraId="36319303" w14:textId="0AFC29C4" w:rsidR="00EB5EFC" w:rsidRPr="0075776C" w:rsidRDefault="00EB5EFC" w:rsidP="0075776C">
      <w:pPr>
        <w:pStyle w:val="ListParagraph"/>
        <w:spacing w:line="360" w:lineRule="auto"/>
        <w:rPr>
          <w:rFonts w:asciiTheme="majorHAnsi" w:hAnsiTheme="majorHAnsi" w:cstheme="majorHAnsi"/>
          <w:sz w:val="24"/>
          <w:szCs w:val="24"/>
          <w:lang w:val="en-US"/>
        </w:rPr>
      </w:pPr>
      <w:r>
        <w:rPr>
          <w:rFonts w:asciiTheme="majorHAnsi" w:hAnsiTheme="majorHAnsi" w:cstheme="majorHAnsi"/>
          <w:sz w:val="24"/>
          <w:szCs w:val="24"/>
          <w:lang w:val="en-US"/>
        </w:rPr>
        <w:t>T</w:t>
      </w:r>
      <w:r w:rsidRPr="00EB5EFC">
        <w:rPr>
          <w:rFonts w:asciiTheme="majorHAnsi" w:hAnsiTheme="majorHAnsi" w:cstheme="majorHAnsi"/>
          <w:sz w:val="24"/>
          <w:szCs w:val="24"/>
          <w:lang w:val="en-US"/>
        </w:rPr>
        <w:t xml:space="preserve">his boxplot </w:t>
      </w:r>
      <w:r w:rsidR="00B445B9">
        <w:rPr>
          <w:rFonts w:asciiTheme="majorHAnsi" w:hAnsiTheme="majorHAnsi" w:cstheme="majorHAnsi"/>
          <w:sz w:val="24"/>
          <w:szCs w:val="24"/>
          <w:lang w:val="en-US"/>
        </w:rPr>
        <w:t xml:space="preserve">illustrates that </w:t>
      </w:r>
      <w:r w:rsidRPr="00EB5EFC">
        <w:rPr>
          <w:rFonts w:asciiTheme="majorHAnsi" w:hAnsiTheme="majorHAnsi" w:cstheme="majorHAnsi"/>
          <w:sz w:val="24"/>
          <w:szCs w:val="24"/>
          <w:lang w:val="en-US"/>
        </w:rPr>
        <w:t>income varies far more than cost of living: income ranges from 534 to 7,976, while cost only ranges from 464 to 6,981. The middle 50% of income also spreads wider (about 2,341 to 6,093) than cost of living (1,852 to 5,413), meaning income differences across countries are much larger. The median income is higher at roughly 4,266 versus a median cost of about 3,698, showing that earnings generally exceed living costs but not evenly. No outliers appear in either dataset. Overall, the chart highlights greater inequality in income and more stability in cost of living across regions.</w:t>
      </w:r>
    </w:p>
    <w:p w14:paraId="3C418703" w14:textId="77777777" w:rsidR="00922E59" w:rsidRPr="00863869" w:rsidRDefault="00922E59" w:rsidP="00922E59">
      <w:pPr>
        <w:pStyle w:val="ListParagraph"/>
        <w:spacing w:line="360" w:lineRule="auto"/>
        <w:rPr>
          <w:rFonts w:asciiTheme="majorHAnsi" w:hAnsiTheme="majorHAnsi" w:cstheme="majorHAnsi"/>
          <w:sz w:val="24"/>
          <w:szCs w:val="24"/>
        </w:rPr>
      </w:pPr>
    </w:p>
    <w:p w14:paraId="67B2EF9C" w14:textId="77777777" w:rsidR="00EA7DAA" w:rsidRPr="00863869" w:rsidRDefault="00922E59" w:rsidP="00EA7DAA">
      <w:pPr>
        <w:pStyle w:val="ListParagraph"/>
        <w:spacing w:line="360" w:lineRule="auto"/>
        <w:rPr>
          <w:rFonts w:asciiTheme="majorHAnsi" w:hAnsiTheme="majorHAnsi" w:cstheme="majorHAnsi"/>
          <w:sz w:val="24"/>
          <w:szCs w:val="24"/>
        </w:rPr>
      </w:pPr>
      <w:r w:rsidRPr="00863869">
        <w:rPr>
          <w:rFonts w:asciiTheme="majorHAnsi" w:hAnsiTheme="majorHAnsi" w:cstheme="majorHAnsi"/>
          <w:sz w:val="24"/>
          <w:szCs w:val="24"/>
          <w:lang w:val="en-US"/>
        </w:rPr>
        <w:t xml:space="preserve">Insight 2: </w:t>
      </w:r>
      <w:r w:rsidR="00EA7DAA" w:rsidRPr="00863869">
        <w:rPr>
          <w:rFonts w:asciiTheme="majorHAnsi" w:hAnsiTheme="majorHAnsi" w:cstheme="majorHAnsi"/>
          <w:sz w:val="24"/>
          <w:szCs w:val="24"/>
        </w:rPr>
        <w:t>Comparison of Average Monthly Income and Cost of Living by Region</w:t>
      </w:r>
    </w:p>
    <w:p w14:paraId="509660B4" w14:textId="569F1082" w:rsidR="00922E59" w:rsidRPr="00863869" w:rsidRDefault="00922E59" w:rsidP="00922E59">
      <w:pPr>
        <w:pStyle w:val="ListParagraph"/>
        <w:spacing w:line="360" w:lineRule="auto"/>
        <w:rPr>
          <w:rFonts w:asciiTheme="majorHAnsi" w:hAnsiTheme="majorHAnsi" w:cstheme="majorHAnsi"/>
          <w:sz w:val="24"/>
          <w:szCs w:val="24"/>
        </w:rPr>
      </w:pPr>
    </w:p>
    <w:p w14:paraId="239F22F1" w14:textId="3933AF64" w:rsidR="00922E59" w:rsidRPr="00863869" w:rsidRDefault="00AA11BC" w:rsidP="004939C0">
      <w:pPr>
        <w:pStyle w:val="ListParagraph"/>
        <w:spacing w:line="360" w:lineRule="auto"/>
        <w:jc w:val="center"/>
        <w:rPr>
          <w:rFonts w:asciiTheme="majorHAnsi" w:hAnsiTheme="majorHAnsi" w:cstheme="majorHAnsi"/>
          <w:sz w:val="24"/>
          <w:szCs w:val="24"/>
          <w:lang w:val="en-US"/>
        </w:rPr>
      </w:pPr>
      <w:r w:rsidRPr="00863869">
        <w:rPr>
          <w:rFonts w:asciiTheme="majorHAnsi" w:hAnsiTheme="majorHAnsi" w:cstheme="majorHAnsi"/>
          <w:noProof/>
          <w:sz w:val="24"/>
          <w:szCs w:val="24"/>
          <w:lang w:val="en-US"/>
        </w:rPr>
        <w:drawing>
          <wp:inline distT="0" distB="0" distL="0" distR="0" wp14:anchorId="0EDC6F9D" wp14:editId="2D909A18">
            <wp:extent cx="3368650" cy="2007530"/>
            <wp:effectExtent l="0" t="0" r="3810" b="0"/>
            <wp:docPr id="115367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72169" name=""/>
                    <pic:cNvPicPr/>
                  </pic:nvPicPr>
                  <pic:blipFill>
                    <a:blip r:embed="rId14"/>
                    <a:stretch>
                      <a:fillRect/>
                    </a:stretch>
                  </pic:blipFill>
                  <pic:spPr>
                    <a:xfrm>
                      <a:off x="0" y="0"/>
                      <a:ext cx="3370931" cy="2008890"/>
                    </a:xfrm>
                    <a:prstGeom prst="rect">
                      <a:avLst/>
                    </a:prstGeom>
                  </pic:spPr>
                </pic:pic>
              </a:graphicData>
            </a:graphic>
          </wp:inline>
        </w:drawing>
      </w:r>
    </w:p>
    <w:p w14:paraId="7CC4BBF2" w14:textId="77777777" w:rsidR="00527195" w:rsidRPr="000135C6" w:rsidRDefault="00527195" w:rsidP="00527195">
      <w:pPr>
        <w:ind w:left="720"/>
        <w:rPr>
          <w:rFonts w:asciiTheme="majorHAnsi" w:hAnsiTheme="majorHAnsi" w:cstheme="majorHAnsi"/>
          <w:sz w:val="24"/>
          <w:szCs w:val="24"/>
          <w:lang w:val="en-US"/>
        </w:rPr>
      </w:pPr>
      <w:r w:rsidRPr="000135C6">
        <w:rPr>
          <w:rFonts w:asciiTheme="majorHAnsi" w:hAnsiTheme="majorHAnsi" w:cstheme="majorHAnsi"/>
          <w:sz w:val="24"/>
          <w:szCs w:val="24"/>
          <w:lang w:val="en-US"/>
        </w:rPr>
        <w:t xml:space="preserve">The graph shows </w:t>
      </w:r>
      <w:r>
        <w:rPr>
          <w:rFonts w:asciiTheme="majorHAnsi" w:hAnsiTheme="majorHAnsi" w:cstheme="majorHAnsi"/>
          <w:sz w:val="24"/>
          <w:szCs w:val="24"/>
          <w:lang w:val="en-US"/>
        </w:rPr>
        <w:t>that</w:t>
      </w:r>
      <w:r w:rsidRPr="000135C6">
        <w:rPr>
          <w:rFonts w:asciiTheme="majorHAnsi" w:hAnsiTheme="majorHAnsi" w:cstheme="majorHAnsi"/>
          <w:sz w:val="24"/>
          <w:szCs w:val="24"/>
          <w:lang w:val="en-US"/>
        </w:rPr>
        <w:t xml:space="preserve"> Europe and Asia hav</w:t>
      </w:r>
      <w:r>
        <w:rPr>
          <w:rFonts w:asciiTheme="majorHAnsi" w:hAnsiTheme="majorHAnsi" w:cstheme="majorHAnsi"/>
          <w:sz w:val="24"/>
          <w:szCs w:val="24"/>
          <w:lang w:val="en-US"/>
        </w:rPr>
        <w:t>e</w:t>
      </w:r>
      <w:r w:rsidRPr="000135C6">
        <w:rPr>
          <w:rFonts w:asciiTheme="majorHAnsi" w:hAnsiTheme="majorHAnsi" w:cstheme="majorHAnsi"/>
          <w:sz w:val="24"/>
          <w:szCs w:val="24"/>
          <w:lang w:val="en-US"/>
        </w:rPr>
        <w:t xml:space="preserve"> higher average incomes in comparison to the cost of living, which </w:t>
      </w:r>
      <w:r>
        <w:rPr>
          <w:rFonts w:asciiTheme="majorHAnsi" w:hAnsiTheme="majorHAnsi" w:cstheme="majorHAnsi"/>
          <w:sz w:val="24"/>
          <w:szCs w:val="24"/>
          <w:lang w:val="en-US"/>
        </w:rPr>
        <w:t>indicates</w:t>
      </w:r>
      <w:r w:rsidRPr="000135C6">
        <w:rPr>
          <w:rFonts w:asciiTheme="majorHAnsi" w:hAnsiTheme="majorHAnsi" w:cstheme="majorHAnsi"/>
          <w:sz w:val="24"/>
          <w:szCs w:val="24"/>
          <w:lang w:val="en-US"/>
        </w:rPr>
        <w:t xml:space="preserve"> stronger economies with more purchasing power. North America has a balanced relationship where high incomes are </w:t>
      </w:r>
      <w:r>
        <w:rPr>
          <w:rFonts w:asciiTheme="majorHAnsi" w:hAnsiTheme="majorHAnsi" w:cstheme="majorHAnsi"/>
          <w:sz w:val="24"/>
          <w:szCs w:val="24"/>
          <w:lang w:val="en-US"/>
        </w:rPr>
        <w:t>matched</w:t>
      </w:r>
      <w:r w:rsidRPr="000135C6">
        <w:rPr>
          <w:rFonts w:asciiTheme="majorHAnsi" w:hAnsiTheme="majorHAnsi" w:cstheme="majorHAnsi"/>
          <w:sz w:val="24"/>
          <w:szCs w:val="24"/>
          <w:lang w:val="en-US"/>
        </w:rPr>
        <w:t xml:space="preserve"> by similarly high costs of living. In contrast, Africa, South America, and Oceania show much smaller gaps, indicating tight financial conditions and lower overall living standards.</w:t>
      </w:r>
    </w:p>
    <w:p w14:paraId="440A7C09" w14:textId="77777777" w:rsidR="000135C6" w:rsidRPr="000135C6" w:rsidRDefault="000135C6" w:rsidP="00933B9E">
      <w:pPr>
        <w:pStyle w:val="ListParagraph"/>
        <w:spacing w:line="360" w:lineRule="auto"/>
        <w:rPr>
          <w:rFonts w:asciiTheme="majorHAnsi" w:hAnsiTheme="majorHAnsi" w:cstheme="majorHAnsi"/>
          <w:sz w:val="24"/>
          <w:szCs w:val="24"/>
          <w:lang w:val="en-US"/>
        </w:rPr>
      </w:pPr>
    </w:p>
    <w:p w14:paraId="7DDA09C2" w14:textId="77777777" w:rsidR="0039439B" w:rsidRPr="00863869" w:rsidRDefault="0039439B" w:rsidP="002C158D">
      <w:pPr>
        <w:pStyle w:val="ListParagraph"/>
        <w:spacing w:line="360" w:lineRule="auto"/>
        <w:rPr>
          <w:rFonts w:asciiTheme="majorHAnsi" w:hAnsiTheme="majorHAnsi" w:cstheme="majorHAnsi"/>
          <w:sz w:val="24"/>
          <w:szCs w:val="24"/>
        </w:rPr>
      </w:pPr>
    </w:p>
    <w:p w14:paraId="6D2685B0" w14:textId="77777777" w:rsidR="00F64B4B" w:rsidRPr="00863869" w:rsidRDefault="00F64B4B" w:rsidP="00801FB4">
      <w:pPr>
        <w:pStyle w:val="ListParagraph"/>
        <w:spacing w:after="0" w:line="360" w:lineRule="auto"/>
        <w:jc w:val="both"/>
        <w:rPr>
          <w:rFonts w:asciiTheme="majorHAnsi" w:hAnsiTheme="majorHAnsi" w:cstheme="majorHAnsi"/>
          <w:sz w:val="24"/>
          <w:szCs w:val="24"/>
          <w:lang w:val="en-AU"/>
        </w:rPr>
      </w:pPr>
    </w:p>
    <w:p w14:paraId="5E03161C" w14:textId="7DB32F98" w:rsidR="00801FB4" w:rsidRPr="00863869" w:rsidRDefault="00801FB4" w:rsidP="00801FB4">
      <w:pPr>
        <w:pStyle w:val="ListParagraph"/>
        <w:spacing w:after="0" w:line="360" w:lineRule="auto"/>
        <w:jc w:val="both"/>
        <w:rPr>
          <w:rFonts w:asciiTheme="majorHAnsi" w:hAnsiTheme="majorHAnsi" w:cstheme="majorHAnsi"/>
          <w:b/>
          <w:bCs/>
          <w:sz w:val="24"/>
          <w:szCs w:val="24"/>
          <w:lang w:val="en-AU"/>
        </w:rPr>
      </w:pPr>
    </w:p>
    <w:p w14:paraId="76C84BE9" w14:textId="77777777" w:rsidR="00767EDB" w:rsidRDefault="00767EDB" w:rsidP="00D61677">
      <w:pPr>
        <w:pStyle w:val="NormalWeb"/>
        <w:rPr>
          <w:lang w:val="en-AU"/>
        </w:rPr>
      </w:pPr>
    </w:p>
    <w:p w14:paraId="3016824A" w14:textId="1F06C89E" w:rsidR="009E3B4B" w:rsidRPr="00D61B9E" w:rsidRDefault="009E3B4B" w:rsidP="009E3B4B">
      <w:pPr>
        <w:pStyle w:val="NormalWeb"/>
        <w:ind w:left="720"/>
        <w:rPr>
          <w:lang w:val="en-AU"/>
        </w:rPr>
      </w:pPr>
    </w:p>
    <w:p w14:paraId="7A8C8B2B" w14:textId="77777777" w:rsidR="009E5B50" w:rsidRPr="009E3B4B" w:rsidRDefault="009E5B50" w:rsidP="00422AF9">
      <w:pPr>
        <w:pStyle w:val="NormalWeb"/>
        <w:ind w:left="720"/>
        <w:rPr>
          <w:lang w:val="en-US"/>
        </w:rPr>
      </w:pPr>
    </w:p>
    <w:sectPr w:rsidR="009E5B50" w:rsidRPr="009E3B4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0454"/>
    <w:multiLevelType w:val="hybridMultilevel"/>
    <w:tmpl w:val="243A12B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DFA6EA2"/>
    <w:multiLevelType w:val="multilevel"/>
    <w:tmpl w:val="FCF26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1478E"/>
    <w:multiLevelType w:val="hybridMultilevel"/>
    <w:tmpl w:val="8CECDA8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199C34C1"/>
    <w:multiLevelType w:val="multilevel"/>
    <w:tmpl w:val="3C42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62FFD"/>
    <w:multiLevelType w:val="multilevel"/>
    <w:tmpl w:val="5D68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A680B"/>
    <w:multiLevelType w:val="hybridMultilevel"/>
    <w:tmpl w:val="970E770A"/>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6" w15:restartNumberingAfterBreak="0">
    <w:nsid w:val="352C11BB"/>
    <w:multiLevelType w:val="hybridMultilevel"/>
    <w:tmpl w:val="C4884B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5D0384A"/>
    <w:multiLevelType w:val="hybridMultilevel"/>
    <w:tmpl w:val="4B9E50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550274CA"/>
    <w:multiLevelType w:val="hybridMultilevel"/>
    <w:tmpl w:val="6E0C4920"/>
    <w:lvl w:ilvl="0" w:tplc="B00A081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451F52"/>
    <w:multiLevelType w:val="multilevel"/>
    <w:tmpl w:val="6D4A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D2805"/>
    <w:multiLevelType w:val="hybridMultilevel"/>
    <w:tmpl w:val="F9D0512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68345499"/>
    <w:multiLevelType w:val="multilevel"/>
    <w:tmpl w:val="98AC7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85B3C"/>
    <w:multiLevelType w:val="multilevel"/>
    <w:tmpl w:val="A2FC2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A67499"/>
    <w:multiLevelType w:val="multilevel"/>
    <w:tmpl w:val="BFD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954609">
    <w:abstractNumId w:val="8"/>
  </w:num>
  <w:num w:numId="2" w16cid:durableId="866137788">
    <w:abstractNumId w:val="0"/>
  </w:num>
  <w:num w:numId="3" w16cid:durableId="1469009104">
    <w:abstractNumId w:val="11"/>
  </w:num>
  <w:num w:numId="4" w16cid:durableId="666058749">
    <w:abstractNumId w:val="3"/>
  </w:num>
  <w:num w:numId="5" w16cid:durableId="453837395">
    <w:abstractNumId w:val="1"/>
  </w:num>
  <w:num w:numId="6" w16cid:durableId="668680442">
    <w:abstractNumId w:val="9"/>
  </w:num>
  <w:num w:numId="7" w16cid:durableId="286594286">
    <w:abstractNumId w:val="13"/>
  </w:num>
  <w:num w:numId="8" w16cid:durableId="1352225561">
    <w:abstractNumId w:val="5"/>
  </w:num>
  <w:num w:numId="9" w16cid:durableId="647125799">
    <w:abstractNumId w:val="7"/>
  </w:num>
  <w:num w:numId="10" w16cid:durableId="89854550">
    <w:abstractNumId w:val="2"/>
  </w:num>
  <w:num w:numId="11" w16cid:durableId="318077702">
    <w:abstractNumId w:val="10"/>
  </w:num>
  <w:num w:numId="12" w16cid:durableId="1581601351">
    <w:abstractNumId w:val="6"/>
  </w:num>
  <w:num w:numId="13" w16cid:durableId="386609281">
    <w:abstractNumId w:val="4"/>
  </w:num>
  <w:num w:numId="14" w16cid:durableId="5025516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6DD"/>
    <w:rsid w:val="000135C6"/>
    <w:rsid w:val="0002460A"/>
    <w:rsid w:val="0002602C"/>
    <w:rsid w:val="00026FE5"/>
    <w:rsid w:val="000276EC"/>
    <w:rsid w:val="000509BA"/>
    <w:rsid w:val="000906D1"/>
    <w:rsid w:val="000B4E81"/>
    <w:rsid w:val="000D123A"/>
    <w:rsid w:val="000F59A3"/>
    <w:rsid w:val="000F7591"/>
    <w:rsid w:val="00112E66"/>
    <w:rsid w:val="00116648"/>
    <w:rsid w:val="00164607"/>
    <w:rsid w:val="00187E74"/>
    <w:rsid w:val="001A7292"/>
    <w:rsid w:val="001B28A4"/>
    <w:rsid w:val="001B437E"/>
    <w:rsid w:val="001B5FB5"/>
    <w:rsid w:val="001D05B2"/>
    <w:rsid w:val="00225E8A"/>
    <w:rsid w:val="00282435"/>
    <w:rsid w:val="00295458"/>
    <w:rsid w:val="002B69B0"/>
    <w:rsid w:val="002C158D"/>
    <w:rsid w:val="002C7DA9"/>
    <w:rsid w:val="002D20CA"/>
    <w:rsid w:val="002D544F"/>
    <w:rsid w:val="00306014"/>
    <w:rsid w:val="00324D19"/>
    <w:rsid w:val="003422DB"/>
    <w:rsid w:val="00351D7A"/>
    <w:rsid w:val="00364287"/>
    <w:rsid w:val="00370A7A"/>
    <w:rsid w:val="0039439B"/>
    <w:rsid w:val="003976F5"/>
    <w:rsid w:val="003A5760"/>
    <w:rsid w:val="003F1D37"/>
    <w:rsid w:val="00401991"/>
    <w:rsid w:val="004051EB"/>
    <w:rsid w:val="00410A1C"/>
    <w:rsid w:val="00422AF9"/>
    <w:rsid w:val="00456E5A"/>
    <w:rsid w:val="004770A5"/>
    <w:rsid w:val="004939C0"/>
    <w:rsid w:val="00527195"/>
    <w:rsid w:val="00534E75"/>
    <w:rsid w:val="0056443E"/>
    <w:rsid w:val="00570A4B"/>
    <w:rsid w:val="00584BBC"/>
    <w:rsid w:val="005A4A6F"/>
    <w:rsid w:val="005B4AC5"/>
    <w:rsid w:val="005D52CD"/>
    <w:rsid w:val="005D7250"/>
    <w:rsid w:val="005D76C9"/>
    <w:rsid w:val="005E0FA3"/>
    <w:rsid w:val="00604773"/>
    <w:rsid w:val="00697496"/>
    <w:rsid w:val="006F6ACA"/>
    <w:rsid w:val="007065EC"/>
    <w:rsid w:val="00714B7A"/>
    <w:rsid w:val="00717F21"/>
    <w:rsid w:val="00753B8D"/>
    <w:rsid w:val="00753B9D"/>
    <w:rsid w:val="0075776C"/>
    <w:rsid w:val="00766ACA"/>
    <w:rsid w:val="00767EDB"/>
    <w:rsid w:val="007E153F"/>
    <w:rsid w:val="00801FB4"/>
    <w:rsid w:val="0080308A"/>
    <w:rsid w:val="0083048A"/>
    <w:rsid w:val="008365D4"/>
    <w:rsid w:val="00855F36"/>
    <w:rsid w:val="00863869"/>
    <w:rsid w:val="008A105E"/>
    <w:rsid w:val="008B151C"/>
    <w:rsid w:val="008D3A0D"/>
    <w:rsid w:val="008F06DD"/>
    <w:rsid w:val="00907A71"/>
    <w:rsid w:val="00922E59"/>
    <w:rsid w:val="00926E6E"/>
    <w:rsid w:val="009331E9"/>
    <w:rsid w:val="00933B9E"/>
    <w:rsid w:val="009422D0"/>
    <w:rsid w:val="009459AA"/>
    <w:rsid w:val="00954A90"/>
    <w:rsid w:val="009D7387"/>
    <w:rsid w:val="009E1163"/>
    <w:rsid w:val="009E3B4B"/>
    <w:rsid w:val="009E5B50"/>
    <w:rsid w:val="009E6782"/>
    <w:rsid w:val="009E75D6"/>
    <w:rsid w:val="009F2FD6"/>
    <w:rsid w:val="00A177B1"/>
    <w:rsid w:val="00A61B15"/>
    <w:rsid w:val="00A705A4"/>
    <w:rsid w:val="00A70E39"/>
    <w:rsid w:val="00A76416"/>
    <w:rsid w:val="00AA11BC"/>
    <w:rsid w:val="00B07583"/>
    <w:rsid w:val="00B1731E"/>
    <w:rsid w:val="00B445B9"/>
    <w:rsid w:val="00B71075"/>
    <w:rsid w:val="00BF5B54"/>
    <w:rsid w:val="00C031AD"/>
    <w:rsid w:val="00C51A09"/>
    <w:rsid w:val="00C61AF3"/>
    <w:rsid w:val="00C90434"/>
    <w:rsid w:val="00C91334"/>
    <w:rsid w:val="00C976EC"/>
    <w:rsid w:val="00CB0EA6"/>
    <w:rsid w:val="00CB760D"/>
    <w:rsid w:val="00CC6CD1"/>
    <w:rsid w:val="00CD7D63"/>
    <w:rsid w:val="00D27A44"/>
    <w:rsid w:val="00D34250"/>
    <w:rsid w:val="00D353FA"/>
    <w:rsid w:val="00D43DFD"/>
    <w:rsid w:val="00D500C7"/>
    <w:rsid w:val="00D5562A"/>
    <w:rsid w:val="00D61677"/>
    <w:rsid w:val="00D61B9E"/>
    <w:rsid w:val="00D74B97"/>
    <w:rsid w:val="00D76338"/>
    <w:rsid w:val="00D90AF8"/>
    <w:rsid w:val="00E01075"/>
    <w:rsid w:val="00E20772"/>
    <w:rsid w:val="00E31B91"/>
    <w:rsid w:val="00E34B1F"/>
    <w:rsid w:val="00E45E3C"/>
    <w:rsid w:val="00E4618F"/>
    <w:rsid w:val="00E7423A"/>
    <w:rsid w:val="00EA7DAA"/>
    <w:rsid w:val="00EB5EFC"/>
    <w:rsid w:val="00F44CD2"/>
    <w:rsid w:val="00F52E3F"/>
    <w:rsid w:val="00F64B4B"/>
    <w:rsid w:val="00F700B4"/>
    <w:rsid w:val="00FB262C"/>
    <w:rsid w:val="00FD1974"/>
    <w:rsid w:val="00FD3AE0"/>
    <w:rsid w:val="00FE4DF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EA9586"/>
  <w15:chartTrackingRefBased/>
  <w15:docId w15:val="{A180C415-9921-48F7-B8FA-DCB604C52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6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06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6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6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6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6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06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6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6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6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6DD"/>
    <w:rPr>
      <w:rFonts w:eastAsiaTheme="majorEastAsia" w:cstheme="majorBidi"/>
      <w:color w:val="272727" w:themeColor="text1" w:themeTint="D8"/>
    </w:rPr>
  </w:style>
  <w:style w:type="paragraph" w:styleId="Title">
    <w:name w:val="Title"/>
    <w:basedOn w:val="Normal"/>
    <w:next w:val="Normal"/>
    <w:link w:val="TitleChar"/>
    <w:uiPriority w:val="10"/>
    <w:qFormat/>
    <w:rsid w:val="008F0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6DD"/>
    <w:pPr>
      <w:spacing w:before="160"/>
      <w:jc w:val="center"/>
    </w:pPr>
    <w:rPr>
      <w:i/>
      <w:iCs/>
      <w:color w:val="404040" w:themeColor="text1" w:themeTint="BF"/>
    </w:rPr>
  </w:style>
  <w:style w:type="character" w:customStyle="1" w:styleId="QuoteChar">
    <w:name w:val="Quote Char"/>
    <w:basedOn w:val="DefaultParagraphFont"/>
    <w:link w:val="Quote"/>
    <w:uiPriority w:val="29"/>
    <w:rsid w:val="008F06DD"/>
    <w:rPr>
      <w:i/>
      <w:iCs/>
      <w:color w:val="404040" w:themeColor="text1" w:themeTint="BF"/>
    </w:rPr>
  </w:style>
  <w:style w:type="paragraph" w:styleId="ListParagraph">
    <w:name w:val="List Paragraph"/>
    <w:basedOn w:val="Normal"/>
    <w:uiPriority w:val="34"/>
    <w:qFormat/>
    <w:rsid w:val="008F06DD"/>
    <w:pPr>
      <w:ind w:left="720"/>
      <w:contextualSpacing/>
    </w:pPr>
  </w:style>
  <w:style w:type="character" w:styleId="IntenseEmphasis">
    <w:name w:val="Intense Emphasis"/>
    <w:basedOn w:val="DefaultParagraphFont"/>
    <w:uiPriority w:val="21"/>
    <w:qFormat/>
    <w:rsid w:val="008F06DD"/>
    <w:rPr>
      <w:i/>
      <w:iCs/>
      <w:color w:val="2F5496" w:themeColor="accent1" w:themeShade="BF"/>
    </w:rPr>
  </w:style>
  <w:style w:type="paragraph" w:styleId="IntenseQuote">
    <w:name w:val="Intense Quote"/>
    <w:basedOn w:val="Normal"/>
    <w:next w:val="Normal"/>
    <w:link w:val="IntenseQuoteChar"/>
    <w:uiPriority w:val="30"/>
    <w:qFormat/>
    <w:rsid w:val="008F06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6DD"/>
    <w:rPr>
      <w:i/>
      <w:iCs/>
      <w:color w:val="2F5496" w:themeColor="accent1" w:themeShade="BF"/>
    </w:rPr>
  </w:style>
  <w:style w:type="character" w:styleId="IntenseReference">
    <w:name w:val="Intense Reference"/>
    <w:basedOn w:val="DefaultParagraphFont"/>
    <w:uiPriority w:val="32"/>
    <w:qFormat/>
    <w:rsid w:val="008F06DD"/>
    <w:rPr>
      <w:b/>
      <w:bCs/>
      <w:smallCaps/>
      <w:color w:val="2F5496" w:themeColor="accent1" w:themeShade="BF"/>
      <w:spacing w:val="5"/>
    </w:rPr>
  </w:style>
  <w:style w:type="paragraph" w:styleId="NormalWeb">
    <w:name w:val="Normal (Web)"/>
    <w:basedOn w:val="Normal"/>
    <w:uiPriority w:val="99"/>
    <w:unhideWhenUsed/>
    <w:rsid w:val="00422AF9"/>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microsoft.com/office/2014/relationships/chartEx" Target="charts/chartEx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https://d.docs.live.net/bbc30b4c97021287/Documents/MIS%20311/Quynh%20mis%20311.xlsx"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'[Quynh mis 311.xlsx]01_Cost of Living'!$C$2:$C$198</cx:f>
        <cx:lvl ptCount="197" formatCode="0.00">
          <cx:pt idx="0">635.83000000000004</cx:pt>
          <cx:pt idx="1">774.12</cx:pt>
          <cx:pt idx="2">1003.0700000000001</cx:pt>
          <cx:pt idx="3">992.80999999999995</cx:pt>
          <cx:pt idx="4">1349.29</cx:pt>
          <cx:pt idx="5">1376.74</cx:pt>
          <cx:pt idx="6">1644.04</cx:pt>
          <cx:pt idx="7">1822.9000000000001</cx:pt>
          <cx:pt idx="8">1456.1600000000001</cx:pt>
          <cx:pt idx="9">1329.74</cx:pt>
          <cx:pt idx="10">975.30999999999995</cx:pt>
          <cx:pt idx="11">1671.1400000000001</cx:pt>
          <cx:pt idx="12">1731.99</cx:pt>
          <cx:pt idx="13">598.21000000000004</cx:pt>
          <cx:pt idx="14">1864.46</cx:pt>
          <cx:pt idx="15">2012.2</cx:pt>
          <cx:pt idx="16">1835.27</cx:pt>
          <cx:pt idx="17">1432.23</cx:pt>
          <cx:pt idx="18">1614.97</cx:pt>
          <cx:pt idx="19">998.72000000000003</cx:pt>
          <cx:pt idx="20">1657.72</cx:pt>
          <cx:pt idx="21">1930.1600000000001</cx:pt>
          <cx:pt idx="22">1544.54</cx:pt>
          <cx:pt idx="23">1664.3</cx:pt>
          <cx:pt idx="24">690.39999999999998</cx:pt>
          <cx:pt idx="25">1434.97</cx:pt>
          <cx:pt idx="26">534.74000000000001</cx:pt>
          <cx:pt idx="27">1902.8299999999999</cx:pt>
          <cx:pt idx="28">1781.6600000000001</cx:pt>
          <cx:pt idx="29">2664.73</cx:pt>
          <cx:pt idx="30">2241.5999999999999</cx:pt>
          <cx:pt idx="31">1140.1199999999999</cx:pt>
          <cx:pt idx="32">3299.8200000000002</cx:pt>
          <cx:pt idx="33">3001.2399999999998</cx:pt>
          <cx:pt idx="34">2760.3299999999999</cx:pt>
          <cx:pt idx="35">2837.9200000000001</cx:pt>
          <cx:pt idx="36">1548.29</cx:pt>
          <cx:pt idx="37">2318.0700000000002</cx:pt>
          <cx:pt idx="38">2184.54</cx:pt>
          <cx:pt idx="39">1650.1400000000001</cx:pt>
          <cx:pt idx="40">3102.1500000000001</cx:pt>
          <cx:pt idx="41">1727.4200000000001</cx:pt>
          <cx:pt idx="42">3793.5100000000002</cx:pt>
          <cx:pt idx="43">3443.3400000000001</cx:pt>
          <cx:pt idx="44">2038.55</cx:pt>
          <cx:pt idx="45">2388.4899999999998</cx:pt>
          <cx:pt idx="46">2917.6500000000001</cx:pt>
          <cx:pt idx="47">1508.1099999999999</cx:pt>
          <cx:pt idx="48">4266.46</cx:pt>
          <cx:pt idx="49">4237.7600000000002</cx:pt>
          <cx:pt idx="50">3116.5100000000002</cx:pt>
          <cx:pt idx="51">2074.29</cx:pt>
          <cx:pt idx="52">3588.8099999999999</cx:pt>
          <cx:pt idx="53">3970.0999999999999</cx:pt>
          <cx:pt idx="54">3217.9499999999998</cx:pt>
          <cx:pt idx="55">4530.4700000000003</cx:pt>
          <cx:pt idx="56">3492.52</cx:pt>
          <cx:pt idx="57">3505.7199999999998</cx:pt>
          <cx:pt idx="58">3191.23</cx:pt>
          <cx:pt idx="59">3065.6100000000001</cx:pt>
          <cx:pt idx="60">4675.7200000000003</cx:pt>
          <cx:pt idx="61">4270.3999999999996</cx:pt>
          <cx:pt idx="62">4859.29</cx:pt>
          <cx:pt idx="63">3680.98</cx:pt>
          <cx:pt idx="64">1861.98</cx:pt>
          <cx:pt idx="65">1637.5599999999999</cx:pt>
          <cx:pt idx="66">3893.3000000000002</cx:pt>
          <cx:pt idx="67">5611.2700000000004</cx:pt>
          <cx:pt idx="68">1556.4300000000001</cx:pt>
          <cx:pt idx="69">5079.6499999999996</cx:pt>
          <cx:pt idx="70">4494.4200000000001</cx:pt>
          <cx:pt idx="71">3805.7199999999998</cx:pt>
          <cx:pt idx="72">5514.8199999999997</cx:pt>
          <cx:pt idx="73">5916.8900000000003</cx:pt>
          <cx:pt idx="74">3690.77</cx:pt>
          <cx:pt idx="75">5330</cx:pt>
          <cx:pt idx="76">4570.4300000000003</cx:pt>
          <cx:pt idx="77">6058.3999999999996</cx:pt>
          <cx:pt idx="78">2434.27</cx:pt>
          <cx:pt idx="79">4391.29</cx:pt>
          <cx:pt idx="80">2363.6700000000001</cx:pt>
          <cx:pt idx="81">4787.1000000000004</cx:pt>
          <cx:pt idx="82">910.71000000000004</cx:pt>
          <cx:pt idx="83">3565.5100000000002</cx:pt>
          <cx:pt idx="84">6023.3299999999999</cx:pt>
          <cx:pt idx="85">6628.04</cx:pt>
          <cx:pt idx="86">4432.9300000000003</cx:pt>
          <cx:pt idx="87">6316.46</cx:pt>
          <cx:pt idx="88">5085.9099999999999</cx:pt>
          <cx:pt idx="89">4294.1700000000001</cx:pt>
          <cx:pt idx="90">3891.6300000000001</cx:pt>
          <cx:pt idx="91">6791.7399999999998</cx:pt>
          <cx:pt idx="92">2409.8000000000002</cx:pt>
          <cx:pt idx="93">2219.3899999999999</cx:pt>
          <cx:pt idx="94">6107.0699999999997</cx:pt>
          <cx:pt idx="95">3609.6799999999998</cx:pt>
          <cx:pt idx="96">7298.54</cx:pt>
          <cx:pt idx="97">6848.3900000000003</cx:pt>
          <cx:pt idx="98">7537.5500000000002</cx:pt>
          <cx:pt idx="99">5181.7799999999997</cx:pt>
          <cx:pt idx="100">4500.96</cx:pt>
          <cx:pt idx="101">5724.8800000000001</cx:pt>
          <cx:pt idx="102">4040.5</cx:pt>
          <cx:pt idx="103">6031.2600000000002</cx:pt>
          <cx:pt idx="104">5050.3599999999997</cx:pt>
          <cx:pt idx="105">5704.6099999999997</cx:pt>
          <cx:pt idx="106">4934.5699999999997</cx:pt>
          <cx:pt idx="107">7406.3100000000004</cx:pt>
          <cx:pt idx="108">3506.3899999999999</cx:pt>
          <cx:pt idx="109">7441.7600000000002</cx:pt>
          <cx:pt idx="110">1859.25</cx:pt>
          <cx:pt idx="111">7235.4099999999999</cx:pt>
          <cx:pt idx="112">7771.0299999999997</cx:pt>
          <cx:pt idx="113">5308.6099999999997</cx:pt>
          <cx:pt idx="114">7924.6999999999998</cx:pt>
          <cx:pt idx="115">7418.75</cx:pt>
          <cx:pt idx="116">7507.75</cx:pt>
          <cx:pt idx="117">4967.29</cx:pt>
          <cx:pt idx="118">3881.3000000000002</cx:pt>
          <cx:pt idx="119">6813.7200000000003</cx:pt>
          <cx:pt idx="120">7708.0299999999997</cx:pt>
          <cx:pt idx="121">1624.3800000000001</cx:pt>
          <cx:pt idx="122">6414.4799999999996</cx:pt>
          <cx:pt idx="123">4808.5500000000002</cx:pt>
          <cx:pt idx="124">751.49000000000001</cx:pt>
          <cx:pt idx="125">888.67999999999995</cx:pt>
          <cx:pt idx="126">7737.6999999999998</cx:pt>
          <cx:pt idx="127">5476.5299999999997</cx:pt>
          <cx:pt idx="128">2530.5900000000001</cx:pt>
          <cx:pt idx="129">7246.8100000000004</cx:pt>
          <cx:pt idx="130">4307.0799999999999</cx:pt>
          <cx:pt idx="131">6991.3000000000002</cx:pt>
          <cx:pt idx="132">6079.6000000000004</cx:pt>
          <cx:pt idx="133">6479.7200000000003</cx:pt>
          <cx:pt idx="134">6624.5</cx:pt>
          <cx:pt idx="135">3486.27</cx:pt>
          <cx:pt idx="136">7313.3800000000001</cx:pt>
          <cx:pt idx="137">6201.71</cx:pt>
          <cx:pt idx="138">3097.5900000000001</cx:pt>
          <cx:pt idx="139">1361.28</cx:pt>
          <cx:pt idx="140">6574.0600000000004</cx:pt>
          <cx:pt idx="141">7075.7399999999998</cx:pt>
          <cx:pt idx="142">6455.1899999999996</cx:pt>
          <cx:pt idx="143">3327.0799999999999</cx:pt>
          <cx:pt idx="144">7024.2200000000003</cx:pt>
          <cx:pt idx="145">6218.4399999999996</cx:pt>
          <cx:pt idx="146">7548.7399999999998</cx:pt>
          <cx:pt idx="147">4736.3100000000004</cx:pt>
          <cx:pt idx="148">3899.6700000000001</cx:pt>
          <cx:pt idx="149">3011.79</cx:pt>
          <cx:pt idx="150">7079</cx:pt>
          <cx:pt idx="151">6271.1999999999998</cx:pt>
          <cx:pt idx="152">3379.1799999999998</cx:pt>
          <cx:pt idx="153">5981.5100000000002</cx:pt>
          <cx:pt idx="154">4036.8200000000002</cx:pt>
          <cx:pt idx="155">7976.5600000000004</cx:pt>
          <cx:pt idx="156">7398.9200000000001</cx:pt>
          <cx:pt idx="157">6659.4300000000003</cx:pt>
          <cx:pt idx="158">6464.5</cx:pt>
          <cx:pt idx="159">5150.5500000000002</cx:pt>
          <cx:pt idx="160">5488.9799999999996</cx:pt>
          <cx:pt idx="161">2599.8400000000001</cx:pt>
          <cx:pt idx="162">3483.9200000000001</cx:pt>
          <cx:pt idx="163">6521.3999999999996</cx:pt>
          <cx:pt idx="164">4108.5500000000002</cx:pt>
          <cx:pt idx="165">6609.3100000000004</cx:pt>
          <cx:pt idx="166">2927.5900000000001</cx:pt>
          <cx:pt idx="167">4697.3000000000002</cx:pt>
          <cx:pt idx="168">3013.98</cx:pt>
          <cx:pt idx="169">4896.7200000000003</cx:pt>
          <cx:pt idx="170">7595.8699999999999</cx:pt>
          <cx:pt idx="171">7471.4700000000003</cx:pt>
          <cx:pt idx="172">7040.9300000000003</cx:pt>
          <cx:pt idx="173">7361.3400000000001</cx:pt>
          <cx:pt idx="174">4738.5</cx:pt>
          <cx:pt idx="175">6963.3900000000003</cx:pt>
          <cx:pt idx="176">5900.2700000000004</cx:pt>
          <cx:pt idx="177">5207.8100000000004</cx:pt>
          <cx:pt idx="178">4875.4399999999996</cx:pt>
          <cx:pt idx="179">7490.8900000000003</cx:pt>
          <cx:pt idx="180">3479.6500000000001</cx:pt>
          <cx:pt idx="181">4774.1700000000001</cx:pt>
          <cx:pt idx="182">4854.4099999999999</cx:pt>
          <cx:pt idx="183">3024.5300000000002</cx:pt>
          <cx:pt idx="184">3965.04</cx:pt>
          <cx:pt idx="185">4822.1599999999999</cx:pt>
          <cx:pt idx="186">3092.7199999999998</cx:pt>
          <cx:pt idx="187">7470.3199999999997</cx:pt>
          <cx:pt idx="188">6729.6499999999996</cx:pt>
          <cx:pt idx="189">4422.9899999999998</cx:pt>
          <cx:pt idx="190">4576.6499999999996</cx:pt>
          <cx:pt idx="191">4965.3900000000003</cx:pt>
          <cx:pt idx="192">7604.6300000000001</cx:pt>
          <cx:pt idx="193">7886.3100000000004</cx:pt>
          <cx:pt idx="194">5241.9799999999996</cx:pt>
          <cx:pt idx="195">7204.1899999999996</cx:pt>
          <cx:pt idx="196">5804.29</cx:pt>
        </cx:lvl>
      </cx:numDim>
    </cx:data>
    <cx:data id="1">
      <cx:numDim type="val">
        <cx:f>'[Quynh mis 311.xlsx]01_Cost of Living'!$D$2:$D$198</cx:f>
        <cx:lvl ptCount="197" formatCode="0.00">
          <cx:pt idx="0">5683.8699999999999</cx:pt>
          <cx:pt idx="1">6344.6300000000001</cx:pt>
          <cx:pt idx="2">6122.4099999999999</cx:pt>
          <cx:pt idx="3">4309.5100000000002</cx:pt>
          <cx:pt idx="4">5777.8500000000004</cx:pt>
          <cx:pt idx="5">5657.1499999999996</cx:pt>
          <cx:pt idx="6">6579</cx:pt>
          <cx:pt idx="7">6975.8000000000002</cx:pt>
          <cx:pt idx="8">5547.0200000000004</cx:pt>
          <cx:pt idx="9">4986.8800000000001</cx:pt>
          <cx:pt idx="10">3625.0500000000002</cx:pt>
          <cx:pt idx="11">6146.9499999999998</cx:pt>
          <cx:pt idx="12">6301.0500000000002</cx:pt>
          <cx:pt idx="13">2100.71</cx:pt>
          <cx:pt idx="14">6399.6099999999997</cx:pt>
          <cx:pt idx="15">6894.25</cx:pt>
          <cx:pt idx="16">6130.6000000000004</cx:pt>
          <cx:pt idx="17">4719.7700000000004</cx:pt>
          <cx:pt idx="18">5301.8599999999997</cx:pt>
          <cx:pt idx="19">3253.4099999999999</cx:pt>
          <cx:pt idx="20">5347.6999999999998</cx:pt>
          <cx:pt idx="21">6164.5900000000001</cx:pt>
          <cx:pt idx="22">4924.7299999999996</cx:pt>
          <cx:pt idx="23">5124.4399999999996</cx:pt>
          <cx:pt idx="24">2031.73</cx:pt>
          <cx:pt idx="25">4014.1100000000001</cx:pt>
          <cx:pt idx="26">1452.99</cx:pt>
          <cx:pt idx="27">5073.9399999999996</cx:pt>
          <cx:pt idx="28">4575.3000000000002</cx:pt>
          <cx:pt idx="29">6825.0299999999997</cx:pt>
          <cx:pt idx="30">5422.7600000000002</cx:pt>
          <cx:pt idx="31">2683.1700000000001</cx:pt>
          <cx:pt idx="32">6811.21</cx:pt>
          <cx:pt idx="33">6153.7700000000004</cx:pt>
          <cx:pt idx="34">5525.54</cx:pt>
          <cx:pt idx="35">5663.8900000000003</cx:pt>
          <cx:pt idx="36">3024.1199999999999</cx:pt>
          <cx:pt idx="37">4498.04</cx:pt>
          <cx:pt idx="38">4065.4000000000001</cx:pt>
          <cx:pt idx="39">3019.6900000000001</cx:pt>
          <cx:pt idx="40">5612.0100000000002</cx:pt>
          <cx:pt idx="41">3101.5999999999999</cx:pt>
          <cx:pt idx="42">6790.0799999999999</cx:pt>
          <cx:pt idx="43">6104.7600000000002</cx:pt>
          <cx:pt idx="44">3612.02</cx:pt>
          <cx:pt idx="45">4093.6799999999998</cx:pt>
          <cx:pt idx="46">4909.75</cx:pt>
          <cx:pt idx="47">2535.8299999999999</cx:pt>
          <cx:pt idx="48">6918.4899999999998</cx:pt>
          <cx:pt idx="49">6833.6300000000001</cx:pt>
          <cx:pt idx="50">4978.3000000000002</cx:pt>
          <cx:pt idx="51">3294.8600000000001</cx:pt>
          <cx:pt idx="52">5645.7399999999998</cx:pt>
          <cx:pt idx="53">6132.9099999999999</cx:pt>
          <cx:pt idx="54">4889.5100000000002</cx:pt>
          <cx:pt idx="55">6840.71</cx:pt>
          <cx:pt idx="56">5228.4899999999998</cx:pt>
          <cx:pt idx="57">5238.5500000000002</cx:pt>
          <cx:pt idx="58">4701</cx:pt>
          <cx:pt idx="59">4360.1400000000003</cx:pt>
          <cx:pt idx="60">6585.71</cx:pt>
          <cx:pt idx="61">5975.5699999999997</cx:pt>
          <cx:pt idx="62">6794.5900000000001</cx:pt>
          <cx:pt idx="63">5079.8000000000002</cx:pt>
          <cx:pt idx="64">2554.6399999999999</cx:pt>
          <cx:pt idx="65">2175.3600000000001</cx:pt>
          <cx:pt idx="66">5146.7299999999996</cx:pt>
          <cx:pt idx="67">6981.0200000000004</cx:pt>
          <cx:pt idx="68">1907.8</cx:pt>
          <cx:pt idx="69">6152.1400000000003</cx:pt>
          <cx:pt idx="70">5404.54</cx:pt>
          <cx:pt idx="71">4568.3000000000002</cx:pt>
          <cx:pt idx="72">6551.3900000000003</cx:pt>
          <cx:pt idx="73">6911.9700000000003</cx:pt>
          <cx:pt idx="74">4242.3299999999999</cx:pt>
          <cx:pt idx="75">6038.9399999999996</cx:pt>
          <cx:pt idx="76">5036.2700000000004</cx:pt>
          <cx:pt idx="77">6627.8699999999999</cx:pt>
          <cx:pt idx="78">2656.3600000000001</cx:pt>
          <cx:pt idx="79">4647.6099999999997</cx:pt>
          <cx:pt idx="80">2448.3899999999999</cx:pt>
          <cx:pt idx="81">4940.0500000000002</cx:pt>
          <cx:pt idx="82">938.75999999999999</cx:pt>
          <cx:pt idx="83">3649.0300000000002</cx:pt>
          <cx:pt idx="84">6148.3999999999996</cx:pt>
          <cx:pt idx="85">6755.75</cx:pt>
          <cx:pt idx="86">4511.5799999999999</cx:pt>
          <cx:pt idx="87">6421.6000000000004</cx:pt>
          <cx:pt idx="88">4950.4700000000003</cx:pt>
          <cx:pt idx="89">4145.7700000000004</cx:pt>
          <cx:pt idx="90">3688.0900000000001</cx:pt>
          <cx:pt idx="91">6305.79</cx:pt>
          <cx:pt idx="92">2205.9400000000001</cx:pt>
          <cx:pt idx="93">1997.5</cx:pt>
          <cx:pt idx="94">5488.0799999999999</cx:pt>
          <cx:pt idx="95">3208.2600000000002</cx:pt>
          <cx:pt idx="96">6477.6000000000004</cx:pt>
          <cx:pt idx="97">6076.8100000000004</cx:pt>
          <cx:pt idx="98">6675.6999999999998</cx:pt>
          <cx:pt idx="99">4469.8900000000003</cx:pt>
          <cx:pt idx="100">3644.52</cx:pt>
          <cx:pt idx="101">4600.4399999999996</cx:pt>
          <cx:pt idx="102">3183.3600000000001</cx:pt>
          <cx:pt idx="103">4747.4700000000003</cx:pt>
          <cx:pt idx="104">3972.5599999999999</cx:pt>
          <cx:pt idx="105">4479.8299999999999</cx:pt>
          <cx:pt idx="106">3874.2600000000002</cx:pt>
          <cx:pt idx="107">5794.1700000000001</cx:pt>
          <cx:pt idx="108">2714.1399999999999</cx:pt>
          <cx:pt idx="109">5691.4099999999999</cx:pt>
          <cx:pt idx="110">1396.98</cx:pt>
          <cx:pt idx="111">5186.6999999999998</cx:pt>
          <cx:pt idx="112">5422.7799999999997</cx:pt>
          <cx:pt idx="113">3692.6599999999999</cx:pt>
          <cx:pt idx="114">5484.6899999999996</cx:pt>
          <cx:pt idx="115">5062.7399999999998</cx:pt>
          <cx:pt idx="116">5112.9700000000003</cx:pt>
          <cx:pt idx="117">3379.1500000000001</cx:pt>
          <cx:pt idx="118">2640.3699999999999</cx:pt>
          <cx:pt idx="119">4614.2700000000004</cx:pt>
          <cx:pt idx="120">5199.3199999999997</cx:pt>
          <cx:pt idx="121">1092.54</cx:pt>
          <cx:pt idx="122">4241.0100000000002</cx:pt>
          <cx:pt idx="123">3170.1999999999998</cx:pt>
          <cx:pt idx="124">476.69999999999999</cx:pt>
          <cx:pt idx="125">562.26999999999998</cx:pt>
          <cx:pt idx="126">4891.3000000000002</cx:pt>
          <cx:pt idx="127">3453.3099999999999</cx:pt>
          <cx:pt idx="128">1594.45</cx:pt>
          <cx:pt idx="129">4533.0500000000002</cx:pt>
          <cx:pt idx="130">2682.8299999999999</cx:pt>
          <cx:pt idx="131">3972.3600000000001</cx:pt>
          <cx:pt idx="132">3404.4499999999998</cx:pt>
          <cx:pt idx="133">3571.3499999999999</cx:pt>
          <cx:pt idx="134">3523.1900000000001</cx:pt>
          <cx:pt idx="135">1846.8099999999999</cx:pt>
          <cx:pt idx="136">3816.9000000000001</cx:pt>
          <cx:pt idx="137">3212.8000000000002</cx:pt>
          <cx:pt idx="138">1601.98</cx:pt>
          <cx:pt idx="139">701.89999999999998</cx:pt>
          <cx:pt idx="140">3342.96</cx:pt>
          <cx:pt idx="141">3567.5999999999999</cx:pt>
          <cx:pt idx="142">3240.02</cx:pt>
          <cx:pt idx="143">1624.47</cx:pt>
          <cx:pt idx="144">3385.3000000000002</cx:pt>
          <cx:pt idx="145">2990.46</cx:pt>
          <cx:pt idx="146">3578.0500000000002</cx:pt>
          <cx:pt idx="147">2227.0599999999999</cx:pt>
          <cx:pt idx="148">1790.3699999999999</cx:pt>
          <cx:pt idx="149">1226.23</cx:pt>
          <cx:pt idx="150">2832.27</cx:pt>
          <cx:pt idx="151">2386.3600000000001</cx:pt>
          <cx:pt idx="152">1266.22</cx:pt>
          <cx:pt idx="153">2203.5100000000002</cx:pt>
          <cx:pt idx="154">1479.9200000000001</cx:pt>
          <cx:pt idx="155">2848.8600000000001</cx:pt>
          <cx:pt idx="156">2623.5100000000002</cx:pt>
          <cx:pt idx="157">2324.9699999999998</cx:pt>
          <cx:pt idx="158">2209.8200000000002</cx:pt>
          <cx:pt idx="159">1723.46</cx:pt>
          <cx:pt idx="160">1806.49</cx:pt>
          <cx:pt idx="161">847.72000000000003</cx:pt>
          <cx:pt idx="162">1106.0699999999999</cx:pt>
          <cx:pt idx="163">2030.8800000000001</cx:pt>
          <cx:pt idx="164">1258.5699999999999</cx:pt>
          <cx:pt idx="165">1917.7</cx:pt>
          <cx:pt idx="166">844.50999999999999</cx:pt>
          <cx:pt idx="167">1268.3499999999999</cx:pt>
          <cx:pt idx="168">798.32000000000005</cx:pt>
          <cx:pt idx="169">1275.9200000000001</cx:pt>
          <cx:pt idx="170">1967.79</cx:pt>
          <cx:pt idx="171">1857.0799999999999</cx:pt>
          <cx:pt idx="172">1720.99</cx:pt>
          <cx:pt idx="173">1716.98</cx:pt>
          <cx:pt idx="174">1090.1500000000001</cx:pt>
          <cx:pt idx="175">1585.9100000000001</cx:pt>
          <cx:pt idx="176">1340.47</cx:pt>
          <cx:pt idx="177">1174.23</cx:pt>
          <cx:pt idx="178">979.91999999999996</cx:pt>
          <cx:pt idx="179">1505.3900000000001</cx:pt>
          <cx:pt idx="180">661.48000000000002</cx:pt>
          <cx:pt idx="181">878.14999999999998</cx:pt>
          <cx:pt idx="182">876.50999999999999</cx:pt>
          <cx:pt idx="183">546.01999999999998</cx:pt>
          <cx:pt idx="184">619.13999999999999</cx:pt>
          <cx:pt idx="185">743.00999999999999</cx:pt>
          <cx:pt idx="186">464.49000000000001</cx:pt>
          <cx:pt idx="187">1076.5599999999999</cx:pt>
          <cx:pt idx="188">943.71000000000004</cx:pt>
          <cx:pt idx="189">605.48000000000002</cx:pt>
          <cx:pt idx="190">614.66999999999996</cx:pt>
          <cx:pt idx="191">664.72000000000003</cx:pt>
          <cx:pt idx="192">918.62</cx:pt>
          <cx:pt idx="193">928.75999999999999</cx:pt>
          <cx:pt idx="194">602.30999999999995</cx:pt>
          <cx:pt idx="195">823.77999999999997</cx:pt>
          <cx:pt idx="196">608.47000000000003</cx:pt>
        </cx:lvl>
      </cx:numDim>
    </cx:data>
  </cx:chartData>
  <cx:chart>
    <cx:title pos="t" align="ctr" overlay="0">
      <cx:tx>
        <cx:rich>
          <a:bodyPr spcFirstLastPara="1" vertOverflow="ellipsis" horzOverflow="overflow" wrap="square" lIns="0" tIns="0" rIns="0" bIns="0" anchor="ctr" anchorCtr="1"/>
          <a:lstStyle/>
          <a:p>
            <a:pPr algn="ctr" rtl="0">
              <a:defRPr/>
            </a:pPr>
            <a:r>
              <a:rPr lang="vi-VN">
                <a:solidFill>
                  <a:sysClr val="windowText" lastClr="000000"/>
                </a:solidFill>
              </a:rPr>
              <a:t>Income and Cost of Living Variability Boxplo</a:t>
            </a:r>
            <a:r>
              <a:rPr lang="en-US">
                <a:solidFill>
                  <a:sysClr val="windowText" lastClr="000000"/>
                </a:solidFill>
              </a:rPr>
              <a:t>t</a:t>
            </a:r>
            <a:endParaRPr lang="en-US" sz="1400" b="0" i="0" u="none" strike="noStrike" baseline="0">
              <a:solidFill>
                <a:sysClr val="windowText" lastClr="000000"/>
              </a:solidFill>
              <a:latin typeface="Aptos Narrow" panose="02110004020202020204"/>
            </a:endParaRPr>
          </a:p>
        </cx:rich>
      </cx:tx>
    </cx:title>
    <cx:plotArea>
      <cx:plotAreaRegion>
        <cx:series layoutId="boxWhisker" uniqueId="{B09A9D9A-BD5C-4B07-969B-D503E128AC64}">
          <cx:tx>
            <cx:txData>
              <cx:f>'[Quynh mis 311.xlsx]01_Cost of Living'!$C$1</cx:f>
              <cx:v>Average_Monthly_Income</cx:v>
            </cx:txData>
          </cx:tx>
          <cx:spPr>
            <a:solidFill>
              <a:schemeClr val="accent5">
                <a:lumMod val="60000"/>
                <a:lumOff val="40000"/>
              </a:schemeClr>
            </a:solidFill>
          </cx:spPr>
          <cx:dataLabels>
            <cx:visibility seriesName="0" categoryName="0" value="1"/>
          </cx:dataLabels>
          <cx:dataId val="0"/>
          <cx:layoutPr>
            <cx:visibility meanLine="0" meanMarker="1" nonoutliers="0" outliers="1"/>
            <cx:statistics quartileMethod="exclusive"/>
          </cx:layoutPr>
        </cx:series>
        <cx:series layoutId="boxWhisker" uniqueId="{C117A2C5-EEA2-4BE7-8993-7F72FECC8415}">
          <cx:tx>
            <cx:txData>
              <cx:f>'[Quynh mis 311.xlsx]01_Cost of Living'!$D$1</cx:f>
              <cx:v>Cost_of_Living</cx:v>
            </cx:txData>
          </cx:tx>
          <cx:spPr>
            <a:solidFill>
              <a:schemeClr val="accent6">
                <a:lumMod val="60000"/>
                <a:lumOff val="40000"/>
              </a:schemeClr>
            </a:solidFill>
          </cx:spPr>
          <cx:dataLabels>
            <cx:visibility seriesName="0" categoryName="0" value="1"/>
          </cx:dataLabels>
          <cx:dataId val="1"/>
          <cx:layoutPr>
            <cx:visibility meanLine="0" meanMarker="1" nonoutliers="0" outliers="1"/>
            <cx:statistics quartileMethod="exclusive"/>
          </cx:layoutPr>
        </cx:series>
      </cx:plotAreaRegion>
      <cx:axis id="0">
        <cx:catScaling gapWidth="1"/>
        <cx:tickLabels/>
      </cx:axis>
      <cx:axis id="1">
        <cx:valScaling/>
        <cx:majorGridlines/>
        <cx:tickLabels/>
      </cx:axis>
    </cx:plotArea>
    <cx:legend pos="t"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949</TotalTime>
  <Pages>5</Pages>
  <Words>833</Words>
  <Characters>4545</Characters>
  <Application>Microsoft Office Word</Application>
  <DocSecurity>0</DocSecurity>
  <Lines>102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Quynh</dc:creator>
  <cp:keywords/>
  <dc:description/>
  <cp:lastModifiedBy>Nguyen Quynh</cp:lastModifiedBy>
  <cp:revision>83</cp:revision>
  <dcterms:created xsi:type="dcterms:W3CDTF">2025-11-02T11:25:00Z</dcterms:created>
  <dcterms:modified xsi:type="dcterms:W3CDTF">2025-11-06T16:08:00Z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7f200ecd-0f58-4693-903f-a10ab095ee4b</vt:lpwstr>
  </property>
</Properties>
</file>