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đánh giá dự án FCC Fast Cash Connect</w:t>
      </w:r>
    </w:p>
    <w:p>
      <w:r>
        <w:rPr>
          <w:b/>
        </w:rPr>
        <w:t>Nhóm Fin Success | Cuộc thi khởi nghiệp Học viện Ngân hàng 2026</w:t>
      </w:r>
    </w:p>
    <w:p>
      <w:r>
        <w:rPr>
          <w:b w:val="0"/>
        </w:rPr>
        <w:t>Ngày đánh giá 18 tháng 10 năm 2026 • Phiên bản 1.0</w:t>
      </w:r>
    </w:p>
    <w:p>
      <w:pPr>
        <w:pStyle w:val="Heading2"/>
      </w:pPr>
      <w:r>
        <w:t>Kết luận điều hành</w:t>
      </w:r>
    </w:p>
    <w:p>
      <w:r>
        <w:rPr>
          <w:b w:val="0"/>
        </w:rPr>
        <w:t>FCC có cơ sở để tiếp tục phát triển dưới mô hình phần mềm quản lý khoản phải thu và điều phối hồ sơ tài trợ cho tổ chức được phép cấp tín dụng. Tuy nhiên, bằng chứng hiện có chưa đủ để khẳng định khả thi thương mại, hiệu quả chấm điểm AI hoặc sẵn sàng xử lý giao dịch tài chính thật. Khuyến nghị tiếp tục dự thi với định vị MVP có điều kiện, đồng thời thu hẹp phạm vi để kiểm chứng một chuỗi cung ứng cụ thể.</w:t>
      </w:r>
    </w:p>
    <w:tbl>
      <w:tblPr>
        <w:tblW w:type="auto" w:w="0"/>
        <w:jc w:val="center"/>
        <w:tblLayout w:type="fixed"/>
        <w:tblLook w:firstColumn="1" w:firstRow="1" w:lastColumn="0" w:lastRow="0" w:noHBand="0" w:noVBand="1" w:val="04A0"/>
      </w:tblPr>
      <w:tblGrid>
        <w:gridCol w:w="1757"/>
        <w:gridCol w:w="7994"/>
      </w:tblGrid>
      <w:tr>
        <w:trPr>
          <w:cantSplit/>
          <w:tblHeader/>
        </w:trPr>
        <w:tc>
          <w:tcPr>
            <w:tcW w:type="dxa" w:w="1757"/>
            <w:vAlign w:val="top"/>
            <w:shd w:fill="173F35"/>
          </w:tcPr>
          <w:p>
            <w:pPr>
              <w:spacing w:after="100" w:before="80" w:line="250" w:lineRule="auto"/>
            </w:pPr>
            <w:r>
              <w:rPr>
                <w:b/>
                <w:color w:val="FFFFFF"/>
                <w:sz w:val="18"/>
              </w:rPr>
              <w:t>Nội dung</w:t>
            </w:r>
          </w:p>
        </w:tc>
        <w:tc>
          <w:tcPr>
            <w:tcW w:type="dxa" w:w="7994"/>
            <w:vAlign w:val="top"/>
            <w:shd w:fill="173F35"/>
          </w:tcPr>
          <w:p>
            <w:pPr>
              <w:spacing w:after="100" w:before="80" w:line="250" w:lineRule="auto"/>
            </w:pPr>
            <w:r>
              <w:rPr>
                <w:b/>
                <w:color w:val="FFFFFF"/>
                <w:sz w:val="18"/>
              </w:rPr>
              <w:t>Đánh giá và quyết định</w:t>
            </w:r>
          </w:p>
        </w:tc>
      </w:tr>
      <w:tr>
        <w:trPr>
          <w:cantSplit/>
        </w:trPr>
        <w:tc>
          <w:tcPr>
            <w:tcW w:type="dxa" w:w="1757"/>
            <w:vAlign w:val="top"/>
            <w:shd w:fill="F0F5F2"/>
          </w:tcPr>
          <w:p>
            <w:pPr>
              <w:spacing w:after="100" w:before="80" w:line="250" w:lineRule="auto"/>
            </w:pPr>
            <w:r>
              <w:rPr>
                <w:sz w:val="18"/>
              </w:rPr>
              <w:t>Vấn đề thị trường</w:t>
            </w:r>
          </w:p>
        </w:tc>
        <w:tc>
          <w:tcPr>
            <w:tcW w:type="dxa" w:w="7994"/>
            <w:vAlign w:val="top"/>
            <w:shd w:fill="F0F5F2"/>
          </w:tcPr>
          <w:p>
            <w:pPr>
              <w:spacing w:after="100" w:before="80" w:line="250" w:lineRule="auto"/>
            </w:pPr>
            <w:r>
              <w:rPr>
                <w:sz w:val="18"/>
              </w:rPr>
              <w:t>Nỗi đau bán chịu và xác nhận công nợ rõ trong hồ sơ. Nhu cầu quan tâm chưa chứng minh khả năng trả phí.</w:t>
            </w:r>
          </w:p>
        </w:tc>
      </w:tr>
      <w:tr>
        <w:trPr>
          <w:cantSplit/>
        </w:trPr>
        <w:tc>
          <w:tcPr>
            <w:tcW w:type="dxa" w:w="1757"/>
            <w:vAlign w:val="top"/>
            <w:shd w:fill="FFFFFF"/>
          </w:tcPr>
          <w:p>
            <w:pPr>
              <w:spacing w:after="100" w:before="80" w:line="250" w:lineRule="auto"/>
            </w:pPr>
            <w:r>
              <w:rPr>
                <w:sz w:val="18"/>
              </w:rPr>
              <w:t>Vai trò FCC</w:t>
            </w:r>
          </w:p>
        </w:tc>
        <w:tc>
          <w:tcPr>
            <w:tcW w:type="dxa" w:w="7994"/>
            <w:vAlign w:val="top"/>
            <w:shd w:fill="FFFFFF"/>
          </w:tcPr>
          <w:p>
            <w:pPr>
              <w:spacing w:after="100" w:before="80" w:line="250" w:lineRule="auto"/>
            </w:pPr>
            <w:r>
              <w:rPr>
                <w:sz w:val="18"/>
              </w:rPr>
              <w:t>Nên là bên cung cấp công nghệ và điều phối dữ liệu; quyền quyết định tín dụng, giải ngân và thu hồi theo hợp đồng thuộc bên tài trợ.</w:t>
            </w:r>
          </w:p>
        </w:tc>
      </w:tr>
      <w:tr>
        <w:trPr>
          <w:cantSplit/>
        </w:trPr>
        <w:tc>
          <w:tcPr>
            <w:tcW w:type="dxa" w:w="1757"/>
            <w:vAlign w:val="top"/>
            <w:shd w:fill="F0F5F2"/>
          </w:tcPr>
          <w:p>
            <w:pPr>
              <w:spacing w:after="100" w:before="80" w:line="250" w:lineRule="auto"/>
            </w:pPr>
            <w:r>
              <w:rPr>
                <w:sz w:val="18"/>
              </w:rPr>
              <w:t>Pháp lý</w:t>
            </w:r>
          </w:p>
        </w:tc>
        <w:tc>
          <w:tcPr>
            <w:tcW w:type="dxa" w:w="7994"/>
            <w:vAlign w:val="top"/>
            <w:shd w:fill="F0F5F2"/>
          </w:tcPr>
          <w:p>
            <w:pPr>
              <w:spacing w:after="100" w:before="80" w:line="250" w:lineRule="auto"/>
            </w:pPr>
            <w:r>
              <w:rPr>
                <w:sz w:val="18"/>
              </w:rPr>
              <w:t>Cần phân loại từng hoạt động. Tuyên bố không giữ tiền không tự động miễn nghĩa vụ đối với chấm điểm, thông tin tín dụng hay dữ liệu cá nhân.</w:t>
            </w:r>
          </w:p>
        </w:tc>
      </w:tr>
      <w:tr>
        <w:trPr>
          <w:cantSplit/>
        </w:trPr>
        <w:tc>
          <w:tcPr>
            <w:tcW w:type="dxa" w:w="1757"/>
            <w:vAlign w:val="top"/>
            <w:shd w:fill="FFFFFF"/>
          </w:tcPr>
          <w:p>
            <w:pPr>
              <w:spacing w:after="100" w:before="80" w:line="250" w:lineRule="auto"/>
            </w:pPr>
            <w:r>
              <w:rPr>
                <w:sz w:val="18"/>
              </w:rPr>
              <w:t>Sản phẩm thực tế</w:t>
            </w:r>
          </w:p>
        </w:tc>
        <w:tc>
          <w:tcPr>
            <w:tcW w:type="dxa" w:w="7994"/>
            <w:vAlign w:val="top"/>
            <w:shd w:fill="FFFFFF"/>
          </w:tcPr>
          <w:p>
            <w:pPr>
              <w:spacing w:after="100" w:before="80" w:line="250" w:lineRule="auto"/>
            </w:pPr>
            <w:r>
              <w:rPr>
                <w:sz w:val="18"/>
              </w:rPr>
              <w:t>Khu vực quản trị có phân vai, hàng đợi và kiểm soát độ bao phủ ESG. Nhiều chỉ tiêu vẫn là dữ liệu demo, chưa có mẫu giải ngân.</w:t>
            </w:r>
          </w:p>
        </w:tc>
      </w:tr>
      <w:tr>
        <w:trPr>
          <w:cantSplit/>
        </w:trPr>
        <w:tc>
          <w:tcPr>
            <w:tcW w:type="dxa" w:w="1757"/>
            <w:vAlign w:val="top"/>
            <w:shd w:fill="F0F5F2"/>
          </w:tcPr>
          <w:p>
            <w:pPr>
              <w:spacing w:after="100" w:before="80" w:line="250" w:lineRule="auto"/>
            </w:pPr>
            <w:r>
              <w:rPr>
                <w:sz w:val="18"/>
              </w:rPr>
              <w:t>Tài chính</w:t>
            </w:r>
          </w:p>
        </w:tc>
        <w:tc>
          <w:tcPr>
            <w:tcW w:type="dxa" w:w="7994"/>
            <w:vAlign w:val="top"/>
            <w:shd w:fill="F0F5F2"/>
          </w:tcPr>
          <w:p>
            <w:pPr>
              <w:spacing w:after="100" w:before="80" w:line="250" w:lineRule="auto"/>
            </w:pPr>
            <w:r>
              <w:rPr>
                <w:sz w:val="18"/>
              </w:rPr>
              <w:t>Các dự báo mâu thuẫn; chi phí demo đang bị dùng để suy luận tính khả thi vận hành fintech.</w:t>
            </w:r>
          </w:p>
        </w:tc>
      </w:tr>
      <w:tr>
        <w:trPr>
          <w:cantSplit/>
        </w:trPr>
        <w:tc>
          <w:tcPr>
            <w:tcW w:type="dxa" w:w="1757"/>
            <w:vAlign w:val="top"/>
            <w:shd w:fill="FFFFFF"/>
          </w:tcPr>
          <w:p>
            <w:pPr>
              <w:spacing w:after="100" w:before="80" w:line="250" w:lineRule="auto"/>
            </w:pPr>
            <w:r>
              <w:rPr>
                <w:sz w:val="18"/>
              </w:rPr>
              <w:t>Ưu tiên</w:t>
            </w:r>
          </w:p>
        </w:tc>
        <w:tc>
          <w:tcPr>
            <w:tcW w:type="dxa" w:w="7994"/>
            <w:vAlign w:val="top"/>
            <w:shd w:fill="FFFFFF"/>
          </w:tcPr>
          <w:p>
            <w:pPr>
              <w:spacing w:after="100" w:before="80" w:line="250" w:lineRule="auto"/>
            </w:pPr>
            <w:r>
              <w:rPr>
                <w:sz w:val="18"/>
              </w:rPr>
              <w:t>Sửa vai trò và hồ sơ pháp lý; thống nhất mô hình tiền; sửa cách hiển thị điểm thiếu dữ liệu; chốt một anchor buyer và một bên tài trợ.</w:t>
            </w:r>
          </w:p>
        </w:tc>
      </w:tr>
    </w:tbl>
    <w:p>
      <w:pPr>
        <w:spacing w:after="0"/>
      </w:pPr>
    </w:p>
    <w:p>
      <w:pPr>
        <w:pStyle w:val="Heading2"/>
      </w:pPr>
      <w:r>
        <w:t>Ba điều kiện trước khi thử nghiệm có giao dịch thật</w:t>
      </w:r>
    </w:p>
    <w:p>
      <w:r>
        <w:rPr>
          <w:b w:val="0"/>
        </w:rPr>
        <w:t>1. Có đối tác tài trợ đủ điều kiện, thỏa thuận phân vai và quy trình pháp lý được rà soát. 2. Chứng minh kiểm soát truy cập, MFA, xác nhận nghĩa vụ và đối soát tiền. 3. Có khách hàng đầu chuỗi đồng ý xác nhận công nợ và dữ liệu thử nghiệm có căn cứ xử lý phù hợp.</w:t>
      </w:r>
    </w:p>
    <w:p>
      <w:r>
        <w:rPr>
          <w:b w:val="0"/>
        </w:rPr>
        <w:t>Báo cáo phân biệt quan sát trực tiếp, nội dung hồ sơ, nhận định và đề xuất. Đây là rà soát phục vụ hoàn thiện dự án; không phải chứng nhận tuân thủ, kiểm toán an toàn hệ thống hay ý kiến pháp lý chấp thuận kinh doanh.</w:t>
      </w:r>
    </w:p>
    <w:p>
      <w:r>
        <w:br w:type="page"/>
      </w:r>
    </w:p>
    <w:p>
      <w:pPr>
        <w:pStyle w:val="Heading1"/>
      </w:pPr>
      <w:r>
        <w:t>1 Phạm vi đánh giá và mức độ bằng chứng</w:t>
      </w:r>
    </w:p>
    <w:p>
      <w:r>
        <w:rPr>
          <w:b w:val="0"/>
        </w:rPr>
        <w:t>Nguồn nội bộ gồm hồ sơ dự thi 79 trang [H1], ảnh tài khoản bốn nhóm [H2] và giao diện website [W1-W6]. Quy định được tra cứu từ nguồn chính thức tại ngày đánh giá; các căn cứ và đường dẫn nằm cuối báo cáo.</w:t>
      </w:r>
    </w:p>
    <w:tbl>
      <w:tblPr>
        <w:tblW w:type="auto" w:w="0"/>
        <w:jc w:val="center"/>
        <w:tblLayout w:type="fixed"/>
        <w:tblLook w:firstColumn="1" w:firstRow="1" w:lastColumn="0" w:lastRow="0" w:noHBand="0" w:noVBand="1" w:val="04A0"/>
      </w:tblPr>
      <w:tblGrid>
        <w:gridCol w:w="1928"/>
        <w:gridCol w:w="3969"/>
        <w:gridCol w:w="3855"/>
      </w:tblGrid>
      <w:tr>
        <w:trPr>
          <w:cantSplit/>
          <w:tblHeader/>
        </w:trPr>
        <w:tc>
          <w:tcPr>
            <w:tcW w:type="dxa" w:w="1928"/>
            <w:vAlign w:val="top"/>
            <w:shd w:fill="173F35"/>
          </w:tcPr>
          <w:p>
            <w:pPr>
              <w:spacing w:after="100" w:before="80" w:line="250" w:lineRule="auto"/>
            </w:pPr>
            <w:r>
              <w:rPr>
                <w:b/>
                <w:color w:val="FFFFFF"/>
                <w:sz w:val="18"/>
              </w:rPr>
              <w:t>Nguồn và phạm vi</w:t>
            </w:r>
          </w:p>
        </w:tc>
        <w:tc>
          <w:tcPr>
            <w:tcW w:type="dxa" w:w="3969"/>
            <w:vAlign w:val="top"/>
            <w:shd w:fill="173F35"/>
          </w:tcPr>
          <w:p>
            <w:pPr>
              <w:spacing w:after="100" w:before="80" w:line="250" w:lineRule="auto"/>
            </w:pPr>
            <w:r>
              <w:rPr>
                <w:b/>
                <w:color w:val="FFFFFF"/>
                <w:sz w:val="18"/>
              </w:rPr>
              <w:t>Đã kiểm tra</w:t>
            </w:r>
          </w:p>
        </w:tc>
        <w:tc>
          <w:tcPr>
            <w:tcW w:type="dxa" w:w="3855"/>
            <w:vAlign w:val="top"/>
            <w:shd w:fill="173F35"/>
          </w:tcPr>
          <w:p>
            <w:pPr>
              <w:spacing w:after="100" w:before="80" w:line="250" w:lineRule="auto"/>
            </w:pPr>
            <w:r>
              <w:rPr>
                <w:b/>
                <w:color w:val="FFFFFF"/>
                <w:sz w:val="18"/>
              </w:rPr>
              <w:t>Giới hạn</w:t>
            </w:r>
          </w:p>
        </w:tc>
      </w:tr>
      <w:tr>
        <w:trPr>
          <w:cantSplit/>
        </w:trPr>
        <w:tc>
          <w:tcPr>
            <w:tcW w:type="dxa" w:w="1928"/>
            <w:vAlign w:val="top"/>
            <w:shd w:fill="F0F5F2"/>
          </w:tcPr>
          <w:p>
            <w:pPr>
              <w:spacing w:after="100" w:before="80" w:line="250" w:lineRule="auto"/>
            </w:pPr>
            <w:r>
              <w:rPr>
                <w:sz w:val="18"/>
              </w:rPr>
              <w:t>Hồ sơ PDF</w:t>
            </w:r>
          </w:p>
        </w:tc>
        <w:tc>
          <w:tcPr>
            <w:tcW w:type="dxa" w:w="3969"/>
            <w:vAlign w:val="top"/>
            <w:shd w:fill="F0F5F2"/>
          </w:tcPr>
          <w:p>
            <w:pPr>
              <w:spacing w:after="100" w:before="80" w:line="250" w:lineRule="auto"/>
            </w:pPr>
            <w:r>
              <w:rPr>
                <w:sz w:val="18"/>
              </w:rPr>
              <w:t>Mô hình, khảo sát, quy trình, đối thủ, nguồn lực, tài chính; đọc trực quan bảng tài chính trang 62.</w:t>
            </w:r>
          </w:p>
        </w:tc>
        <w:tc>
          <w:tcPr>
            <w:tcW w:type="dxa" w:w="3855"/>
            <w:vAlign w:val="top"/>
            <w:shd w:fill="F0F5F2"/>
          </w:tcPr>
          <w:p>
            <w:pPr>
              <w:spacing w:after="100" w:before="80" w:line="250" w:lineRule="auto"/>
            </w:pPr>
            <w:r>
              <w:rPr>
                <w:sz w:val="18"/>
              </w:rPr>
              <w:t>Chưa có dữ liệu khảo sát gốc, hợp đồng, xác nhận đối tác, mã nguồn hay mô hình tài chính có công thức.</w:t>
            </w:r>
          </w:p>
        </w:tc>
      </w:tr>
      <w:tr>
        <w:trPr>
          <w:cantSplit/>
        </w:trPr>
        <w:tc>
          <w:tcPr>
            <w:tcW w:type="dxa" w:w="1928"/>
            <w:vAlign w:val="top"/>
            <w:shd w:fill="FFFFFF"/>
          </w:tcPr>
          <w:p>
            <w:pPr>
              <w:spacing w:after="100" w:before="80" w:line="250" w:lineRule="auto"/>
            </w:pPr>
            <w:r>
              <w:rPr>
                <w:sz w:val="18"/>
              </w:rPr>
              <w:t>Ảnh phân vai</w:t>
            </w:r>
          </w:p>
        </w:tc>
        <w:tc>
          <w:tcPr>
            <w:tcW w:type="dxa" w:w="3969"/>
            <w:vAlign w:val="top"/>
            <w:shd w:fill="FFFFFF"/>
          </w:tcPr>
          <w:p>
            <w:pPr>
              <w:spacing w:after="100" w:before="80" w:line="250" w:lineRule="auto"/>
            </w:pPr>
            <w:r>
              <w:rPr>
                <w:sz w:val="18"/>
              </w:rPr>
              <w:t>Bốn nhóm FCC, nhà cung cấp, bên mua, tổ chức tài chính.</w:t>
            </w:r>
          </w:p>
        </w:tc>
        <w:tc>
          <w:tcPr>
            <w:tcW w:type="dxa" w:w="3855"/>
            <w:vAlign w:val="top"/>
            <w:shd w:fill="FFFFFF"/>
          </w:tcPr>
          <w:p>
            <w:pPr>
              <w:spacing w:after="100" w:before="80" w:line="250" w:lineRule="auto"/>
            </w:pPr>
            <w:r>
              <w:rPr>
                <w:sz w:val="18"/>
              </w:rPr>
              <w:t>Đây là danh sách tài khoản và vai trò chủ tổ chức, chưa phải ma trận quyền nghiệp vụ.</w:t>
            </w:r>
          </w:p>
        </w:tc>
      </w:tr>
      <w:tr>
        <w:trPr>
          <w:cantSplit/>
        </w:trPr>
        <w:tc>
          <w:tcPr>
            <w:tcW w:type="dxa" w:w="1928"/>
            <w:vAlign w:val="top"/>
            <w:shd w:fill="F0F5F2"/>
          </w:tcPr>
          <w:p>
            <w:pPr>
              <w:spacing w:after="100" w:before="80" w:line="250" w:lineRule="auto"/>
            </w:pPr>
            <w:r>
              <w:rPr>
                <w:sz w:val="18"/>
              </w:rPr>
              <w:t>Website công khai</w:t>
            </w:r>
          </w:p>
        </w:tc>
        <w:tc>
          <w:tcPr>
            <w:tcW w:type="dxa" w:w="3969"/>
            <w:vAlign w:val="top"/>
            <w:shd w:fill="F0F5F2"/>
          </w:tcPr>
          <w:p>
            <w:pPr>
              <w:spacing w:after="100" w:before="80" w:line="250" w:lineRule="auto"/>
            </w:pPr>
            <w:r>
              <w:rPr>
                <w:sz w:val="18"/>
              </w:rPr>
              <w:t>Trang giới thiệu, luồng chọn vai trò, màn hình đăng nhập.</w:t>
            </w:r>
          </w:p>
        </w:tc>
        <w:tc>
          <w:tcPr>
            <w:tcW w:type="dxa" w:w="3855"/>
            <w:vAlign w:val="top"/>
            <w:shd w:fill="F0F5F2"/>
          </w:tcPr>
          <w:p>
            <w:pPr>
              <w:spacing w:after="100" w:before="80" w:line="250" w:lineRule="auto"/>
            </w:pPr>
            <w:r>
              <w:rPr>
                <w:sz w:val="18"/>
              </w:rPr>
              <w:t>Không tạo tài khoản hoặc chấp thuận điều khoản.</w:t>
            </w:r>
          </w:p>
        </w:tc>
      </w:tr>
      <w:tr>
        <w:trPr>
          <w:cantSplit/>
        </w:trPr>
        <w:tc>
          <w:tcPr>
            <w:tcW w:type="dxa" w:w="1928"/>
            <w:vAlign w:val="top"/>
            <w:shd w:fill="FFFFFF"/>
          </w:tcPr>
          <w:p>
            <w:pPr>
              <w:spacing w:after="100" w:before="80" w:line="250" w:lineRule="auto"/>
            </w:pPr>
            <w:r>
              <w:rPr>
                <w:sz w:val="18"/>
              </w:rPr>
              <w:t>Website đăng nhập</w:t>
            </w:r>
          </w:p>
        </w:tc>
        <w:tc>
          <w:tcPr>
            <w:tcW w:type="dxa" w:w="3969"/>
            <w:vAlign w:val="top"/>
            <w:shd w:fill="FFFFFF"/>
          </w:tcPr>
          <w:p>
            <w:pPr>
              <w:spacing w:after="100" w:before="80" w:line="250" w:lineRule="auto"/>
            </w:pPr>
            <w:r>
              <w:rPr>
                <w:sz w:val="18"/>
              </w:rPr>
              <w:t>Tài khoản FCC; bảng điều khiển, ma trận RBAC, ESG, nguồn dữ liệu, cài đặt, bảo mật.</w:t>
            </w:r>
          </w:p>
        </w:tc>
        <w:tc>
          <w:tcPr>
            <w:tcW w:type="dxa" w:w="3855"/>
            <w:vAlign w:val="top"/>
            <w:shd w:fill="FFFFFF"/>
          </w:tcPr>
          <w:p>
            <w:pPr>
              <w:spacing w:after="100" w:before="80" w:line="250" w:lineRule="auto"/>
            </w:pPr>
            <w:r>
              <w:rPr>
                <w:sz w:val="18"/>
              </w:rPr>
              <w:t>Phiên đăng nhập xác nhận vai trò FCC. Chưa đăng nhập độc lập được ba vai trò còn lại.</w:t>
            </w:r>
          </w:p>
        </w:tc>
      </w:tr>
      <w:tr>
        <w:trPr>
          <w:cantSplit/>
        </w:trPr>
        <w:tc>
          <w:tcPr>
            <w:tcW w:type="dxa" w:w="1928"/>
            <w:vAlign w:val="top"/>
            <w:shd w:fill="F0F5F2"/>
          </w:tcPr>
          <w:p>
            <w:pPr>
              <w:spacing w:after="100" w:before="80" w:line="250" w:lineRule="auto"/>
            </w:pPr>
            <w:r>
              <w:rPr>
                <w:sz w:val="18"/>
              </w:rPr>
              <w:t>Kiểm tra phân vai</w:t>
            </w:r>
          </w:p>
        </w:tc>
        <w:tc>
          <w:tcPr>
            <w:tcW w:type="dxa" w:w="3969"/>
            <w:vAlign w:val="top"/>
            <w:shd w:fill="F0F5F2"/>
          </w:tcPr>
          <w:p>
            <w:pPr>
              <w:spacing w:after="100" w:before="80" w:line="250" w:lineRule="auto"/>
            </w:pPr>
            <w:r>
              <w:rPr>
                <w:sz w:val="18"/>
              </w:rPr>
              <w:t>Mở /supplier khi ở phiên FCC dẫn trở lại /admin.</w:t>
            </w:r>
          </w:p>
        </w:tc>
        <w:tc>
          <w:tcPr>
            <w:tcW w:type="dxa" w:w="3855"/>
            <w:vAlign w:val="top"/>
            <w:shd w:fill="F0F5F2"/>
          </w:tcPr>
          <w:p>
            <w:pPr>
              <w:spacing w:after="100" w:before="80" w:line="250" w:lineRule="auto"/>
            </w:pPr>
            <w:r>
              <w:rPr>
                <w:sz w:val="18"/>
              </w:rPr>
              <w:t>Chỉ chứng minh điều hướng giao diện trong tình huống này; chưa chứng minh phân quyền API.</w:t>
            </w:r>
          </w:p>
        </w:tc>
      </w:tr>
      <w:tr>
        <w:trPr>
          <w:cantSplit/>
        </w:trPr>
        <w:tc>
          <w:tcPr>
            <w:tcW w:type="dxa" w:w="1928"/>
            <w:vAlign w:val="top"/>
            <w:shd w:fill="FFFFFF"/>
          </w:tcPr>
          <w:p>
            <w:pPr>
              <w:spacing w:after="100" w:before="80" w:line="250" w:lineRule="auto"/>
            </w:pPr>
            <w:r>
              <w:rPr>
                <w:sz w:val="18"/>
              </w:rPr>
              <w:t>Pháp lý</w:t>
            </w:r>
          </w:p>
        </w:tc>
        <w:tc>
          <w:tcPr>
            <w:tcW w:type="dxa" w:w="3969"/>
            <w:vAlign w:val="top"/>
            <w:shd w:fill="FFFFFF"/>
          </w:tcPr>
          <w:p>
            <w:pPr>
              <w:spacing w:after="100" w:before="80" w:line="250" w:lineRule="auto"/>
            </w:pPr>
            <w:r>
              <w:rPr>
                <w:sz w:val="18"/>
              </w:rPr>
              <w:t>Tra cứu văn bản và bài giải thích chính thức về ngân hàng, dữ liệu, thanh toán, chữ ký và ESG.</w:t>
            </w:r>
          </w:p>
        </w:tc>
        <w:tc>
          <w:tcPr>
            <w:tcW w:type="dxa" w:w="3855"/>
            <w:vAlign w:val="top"/>
            <w:shd w:fill="FFFFFF"/>
          </w:tcPr>
          <w:p>
            <w:pPr>
              <w:spacing w:after="100" w:before="80" w:line="250" w:lineRule="auto"/>
            </w:pPr>
            <w:r>
              <w:rPr>
                <w:sz w:val="18"/>
              </w:rPr>
              <w:t>Phân loại cuối cùng phụ thuộc hoạt động, hợp đồng, dữ liệu và giấy phép cụ thể.</w:t>
            </w:r>
          </w:p>
        </w:tc>
      </w:tr>
    </w:tbl>
    <w:p>
      <w:pPr>
        <w:spacing w:after="0"/>
      </w:pPr>
    </w:p>
    <w:p>
      <w:pPr>
        <w:pStyle w:val="Heading2"/>
      </w:pPr>
      <w:r>
        <w:t>Quy tắc đọc báo cáo</w:t>
      </w:r>
    </w:p>
    <w:p>
      <w:r>
        <w:rPr>
          <w:b w:val="0"/>
        </w:rPr>
        <w:t>Quan sát trực tiếp là nội dung thấy trên giao diện trong phiên đánh giá. Nội dung hồ sơ là điều nhóm tự mô tả, chưa mặc nhiên được xác thực. Nhận định là suy luận chuyên môn có nêu căn cứ. Đề xuất là thiết kế hoặc tiêu chí nên áp dụng, không phải tính năng đã có.</w:t>
      </w:r>
    </w:p>
    <w:p>
      <w:r>
        <w:rPr>
          <w:b w:val="0"/>
        </w:rPr>
        <w:t>Không thực hiện phê duyệt tổ chức, phát hành điểm, thay đổi biểu phí, gửi lời mời, giải ngân hay xóa dữ liệu. Nhật ký có sẵn chỉ được dùng để đánh giá cách trình bày và dấu vết nghiệp vụ, không được coi là giao dịch do người đánh giá thực hiện.</w:t>
      </w:r>
    </w:p>
    <w:p>
      <w:r>
        <w:rPr>
          <w:b w:val="0"/>
        </w:rPr>
        <w:t>UI/UX desktop đã được quan sát trực quan. Mobile, hỗ trợ trình đọc màn hình, đối sánh độ tương phản, hiệu năng tải và các luồng lỗi chưa được kiểm thử đầy đủ. Không chấm điểm định lượng để tránh tạo độ chính xác giả.</w:t>
      </w:r>
    </w:p>
    <w:p>
      <w:r>
        <w:br w:type="page"/>
      </w:r>
    </w:p>
    <w:p>
      <w:pPr>
        <w:pStyle w:val="Heading1"/>
      </w:pPr>
      <w:r>
        <w:t>2 Tính khả thi của dự án</w:t>
      </w:r>
    </w:p>
    <w:p>
      <w:pPr>
        <w:pStyle w:val="Heading2"/>
      </w:pPr>
      <w:r>
        <w:t>Nút thắt chính nằm ở sự phối hợp giữa các bên</w:t>
      </w:r>
    </w:p>
    <w:p>
      <w:r>
        <w:rPr>
          <w:b w:val="0"/>
        </w:rPr>
        <w:t>Hồ sơ nêu 180 phiếu khảo sát và 9 phỏng vấn; 77,1% quan tâm nhận tiền sớm và bên mua ngại phát sinh thao tác hoặc nghĩa vụ mới [H1, trang 18-21]. Đây là luận điểm hợp lý cho việc chọn điểm vào thị trường, nhưng không đủ để kết luận 77,1% sẽ sử dụng FCC hoặc trả mức phí dự kiến. Cần bổ sung cách lấy mẫu, thời gian khảo sát, người trả lời, bảng hỏi, mẫu số từng câu và dữ liệu đã khử định danh.</w:t>
      </w:r>
    </w:p>
    <w:tbl>
      <w:tblPr>
        <w:tblW w:type="auto" w:w="0"/>
        <w:jc w:val="center"/>
        <w:tblLayout w:type="fixed"/>
        <w:tblLook w:firstColumn="1" w:firstRow="1" w:lastColumn="0" w:lastRow="0" w:noHBand="0" w:noVBand="1" w:val="04A0"/>
      </w:tblPr>
      <w:tblGrid>
        <w:gridCol w:w="1757"/>
        <w:gridCol w:w="4025"/>
        <w:gridCol w:w="3969"/>
      </w:tblGrid>
      <w:tr>
        <w:trPr>
          <w:cantSplit/>
          <w:tblHeader/>
        </w:trPr>
        <w:tc>
          <w:tcPr>
            <w:tcW w:type="dxa" w:w="1757"/>
            <w:vAlign w:val="top"/>
            <w:shd w:fill="173F35"/>
          </w:tcPr>
          <w:p>
            <w:pPr>
              <w:spacing w:after="100" w:before="80" w:line="250" w:lineRule="auto"/>
            </w:pPr>
            <w:r>
              <w:rPr>
                <w:b/>
                <w:color w:val="FFFFFF"/>
                <w:sz w:val="18"/>
              </w:rPr>
              <w:t>Khía cạnh</w:t>
            </w:r>
          </w:p>
        </w:tc>
        <w:tc>
          <w:tcPr>
            <w:tcW w:type="dxa" w:w="4025"/>
            <w:vAlign w:val="top"/>
            <w:shd w:fill="173F35"/>
          </w:tcPr>
          <w:p>
            <w:pPr>
              <w:spacing w:after="100" w:before="80" w:line="250" w:lineRule="auto"/>
            </w:pPr>
            <w:r>
              <w:rPr>
                <w:b/>
                <w:color w:val="FFFFFF"/>
                <w:sz w:val="18"/>
              </w:rPr>
              <w:t>Khả thi khi</w:t>
            </w:r>
          </w:p>
        </w:tc>
        <w:tc>
          <w:tcPr>
            <w:tcW w:type="dxa" w:w="3969"/>
            <w:vAlign w:val="top"/>
            <w:shd w:fill="173F35"/>
          </w:tcPr>
          <w:p>
            <w:pPr>
              <w:spacing w:after="100" w:before="80" w:line="250" w:lineRule="auto"/>
            </w:pPr>
            <w:r>
              <w:rPr>
                <w:b/>
                <w:color w:val="FFFFFF"/>
                <w:sz w:val="18"/>
              </w:rPr>
              <w:t>Điểm chưa được chứng minh</w:t>
            </w:r>
          </w:p>
        </w:tc>
      </w:tr>
      <w:tr>
        <w:trPr>
          <w:cantSplit/>
        </w:trPr>
        <w:tc>
          <w:tcPr>
            <w:tcW w:type="dxa" w:w="1757"/>
            <w:vAlign w:val="top"/>
            <w:shd w:fill="F0F5F2"/>
          </w:tcPr>
          <w:p>
            <w:pPr>
              <w:spacing w:after="100" w:before="80" w:line="250" w:lineRule="auto"/>
            </w:pPr>
            <w:r>
              <w:rPr>
                <w:sz w:val="18"/>
              </w:rPr>
              <w:t>Sản phẩm phần mềm</w:t>
            </w:r>
          </w:p>
        </w:tc>
        <w:tc>
          <w:tcPr>
            <w:tcW w:type="dxa" w:w="4025"/>
            <w:vAlign w:val="top"/>
            <w:shd w:fill="F0F5F2"/>
          </w:tcPr>
          <w:p>
            <w:pPr>
              <w:spacing w:after="100" w:before="80" w:line="250" w:lineRule="auto"/>
            </w:pPr>
            <w:r>
              <w:rPr>
                <w:sz w:val="18"/>
              </w:rPr>
              <w:t>Tập trung nhập công nợ, xác nhận, chia sẻ có kiểm soát và theo dõi trạng thái.</w:t>
            </w:r>
          </w:p>
        </w:tc>
        <w:tc>
          <w:tcPr>
            <w:tcW w:type="dxa" w:w="3969"/>
            <w:vAlign w:val="top"/>
            <w:shd w:fill="F0F5F2"/>
          </w:tcPr>
          <w:p>
            <w:pPr>
              <w:spacing w:after="100" w:before="80" w:line="250" w:lineRule="auto"/>
            </w:pPr>
            <w:r>
              <w:rPr>
                <w:sz w:val="18"/>
              </w:rPr>
              <w:t>Tích hợp thật với hệ thống ngân hàng, ERP và hóa đơn điện tử.</w:t>
            </w:r>
          </w:p>
        </w:tc>
      </w:tr>
      <w:tr>
        <w:trPr>
          <w:cantSplit/>
        </w:trPr>
        <w:tc>
          <w:tcPr>
            <w:tcW w:type="dxa" w:w="1757"/>
            <w:vAlign w:val="top"/>
            <w:shd w:fill="FFFFFF"/>
          </w:tcPr>
          <w:p>
            <w:pPr>
              <w:spacing w:after="100" w:before="80" w:line="250" w:lineRule="auto"/>
            </w:pPr>
            <w:r>
              <w:rPr>
                <w:sz w:val="18"/>
              </w:rPr>
              <w:t>Tài trợ</w:t>
            </w:r>
          </w:p>
        </w:tc>
        <w:tc>
          <w:tcPr>
            <w:tcW w:type="dxa" w:w="4025"/>
            <w:vAlign w:val="top"/>
            <w:shd w:fill="FFFFFF"/>
          </w:tcPr>
          <w:p>
            <w:pPr>
              <w:spacing w:after="100" w:before="80" w:line="250" w:lineRule="auto"/>
            </w:pPr>
            <w:r>
              <w:rPr>
                <w:sz w:val="18"/>
              </w:rPr>
              <w:t>Bên tài trợ chấp nhận bộ hồ sơ, quyền truy đòi và cơ chế trả nợ.</w:t>
            </w:r>
          </w:p>
        </w:tc>
        <w:tc>
          <w:tcPr>
            <w:tcW w:type="dxa" w:w="3969"/>
            <w:vAlign w:val="top"/>
            <w:shd w:fill="FFFFFF"/>
          </w:tcPr>
          <w:p>
            <w:pPr>
              <w:spacing w:after="100" w:before="80" w:line="250" w:lineRule="auto"/>
            </w:pPr>
            <w:r>
              <w:rPr>
                <w:sz w:val="18"/>
              </w:rPr>
              <w:t>Hạn mức có cam kết, tiêu chí tài trợ và SLA được ký.</w:t>
            </w:r>
          </w:p>
        </w:tc>
      </w:tr>
      <w:tr>
        <w:trPr>
          <w:cantSplit/>
        </w:trPr>
        <w:tc>
          <w:tcPr>
            <w:tcW w:type="dxa" w:w="1757"/>
            <w:vAlign w:val="top"/>
            <w:shd w:fill="F0F5F2"/>
          </w:tcPr>
          <w:p>
            <w:pPr>
              <w:spacing w:after="100" w:before="80" w:line="250" w:lineRule="auto"/>
            </w:pPr>
            <w:r>
              <w:rPr>
                <w:sz w:val="18"/>
              </w:rPr>
              <w:t>Khách hàng</w:t>
            </w:r>
          </w:p>
        </w:tc>
        <w:tc>
          <w:tcPr>
            <w:tcW w:type="dxa" w:w="4025"/>
            <w:vAlign w:val="top"/>
            <w:shd w:fill="F0F5F2"/>
          </w:tcPr>
          <w:p>
            <w:pPr>
              <w:spacing w:after="100" w:before="80" w:line="250" w:lineRule="auto"/>
            </w:pPr>
            <w:r>
              <w:rPr>
                <w:sz w:val="18"/>
              </w:rPr>
              <w:t>Anchor buyer đưa nhà cung cấp vào chương trình và xử lý xác nhận.</w:t>
            </w:r>
          </w:p>
        </w:tc>
        <w:tc>
          <w:tcPr>
            <w:tcW w:type="dxa" w:w="3969"/>
            <w:vAlign w:val="top"/>
            <w:shd w:fill="F0F5F2"/>
          </w:tcPr>
          <w:p>
            <w:pPr>
              <w:spacing w:after="100" w:before="80" w:line="250" w:lineRule="auto"/>
            </w:pPr>
            <w:r>
              <w:rPr>
                <w:sz w:val="18"/>
              </w:rPr>
              <w:t>LOI hoặc thỏa thuận thử nghiệm ba bên; ngân sách trả phí.</w:t>
            </w:r>
          </w:p>
        </w:tc>
      </w:tr>
      <w:tr>
        <w:trPr>
          <w:cantSplit/>
        </w:trPr>
        <w:tc>
          <w:tcPr>
            <w:tcW w:type="dxa" w:w="1757"/>
            <w:vAlign w:val="top"/>
            <w:shd w:fill="FFFFFF"/>
          </w:tcPr>
          <w:p>
            <w:pPr>
              <w:spacing w:after="100" w:before="80" w:line="250" w:lineRule="auto"/>
            </w:pPr>
            <w:r>
              <w:rPr>
                <w:sz w:val="18"/>
              </w:rPr>
              <w:t>Dữ liệu và AI</w:t>
            </w:r>
          </w:p>
        </w:tc>
        <w:tc>
          <w:tcPr>
            <w:tcW w:type="dxa" w:w="4025"/>
            <w:vAlign w:val="top"/>
            <w:shd w:fill="FFFFFF"/>
          </w:tcPr>
          <w:p>
            <w:pPr>
              <w:spacing w:after="100" w:before="80" w:line="250" w:lineRule="auto"/>
            </w:pPr>
            <w:r>
              <w:rPr>
                <w:sz w:val="18"/>
              </w:rPr>
              <w:t>Có quyền sử dụng dữ liệu, nhãn kết quả và kiểm định độc lập.</w:t>
            </w:r>
          </w:p>
        </w:tc>
        <w:tc>
          <w:tcPr>
            <w:tcW w:type="dxa" w:w="3969"/>
            <w:vAlign w:val="top"/>
            <w:shd w:fill="FFFFFF"/>
          </w:tcPr>
          <w:p>
            <w:pPr>
              <w:spacing w:after="100" w:before="80" w:line="250" w:lineRule="auto"/>
            </w:pPr>
            <w:r>
              <w:rPr>
                <w:sz w:val="18"/>
              </w:rPr>
              <w:t>Độ chính xác, khả năng dự báo rủi ro, chất lượng dữ liệu đầu vào.</w:t>
            </w:r>
          </w:p>
        </w:tc>
      </w:tr>
      <w:tr>
        <w:trPr>
          <w:cantSplit/>
        </w:trPr>
        <w:tc>
          <w:tcPr>
            <w:tcW w:type="dxa" w:w="1757"/>
            <w:vAlign w:val="top"/>
            <w:shd w:fill="F0F5F2"/>
          </w:tcPr>
          <w:p>
            <w:pPr>
              <w:spacing w:after="100" w:before="80" w:line="250" w:lineRule="auto"/>
            </w:pPr>
            <w:r>
              <w:rPr>
                <w:sz w:val="18"/>
              </w:rPr>
              <w:t>Nguồn lực</w:t>
            </w:r>
          </w:p>
        </w:tc>
        <w:tc>
          <w:tcPr>
            <w:tcW w:type="dxa" w:w="4025"/>
            <w:vAlign w:val="top"/>
            <w:shd w:fill="F0F5F2"/>
          </w:tcPr>
          <w:p>
            <w:pPr>
              <w:spacing w:after="100" w:before="80" w:line="250" w:lineRule="auto"/>
            </w:pPr>
            <w:r>
              <w:rPr>
                <w:sz w:val="18"/>
              </w:rPr>
              <w:t>Có người phụ trách nghiệp vụ SCF, kỹ thuật, tuân thủ và hỗ trợ.</w:t>
            </w:r>
          </w:p>
        </w:tc>
        <w:tc>
          <w:tcPr>
            <w:tcW w:type="dxa" w:w="3969"/>
            <w:vAlign w:val="top"/>
            <w:shd w:fill="F0F5F2"/>
          </w:tcPr>
          <w:p>
            <w:pPr>
              <w:spacing w:after="100" w:before="80" w:line="250" w:lineRule="auto"/>
            </w:pPr>
            <w:r>
              <w:rPr>
                <w:sz w:val="18"/>
              </w:rPr>
              <w:t>Thời gian làm việc thực tế, chi phí thay thế lao động sáng lập, năng lực vận hành.</w:t>
            </w:r>
          </w:p>
        </w:tc>
      </w:tr>
    </w:tbl>
    <w:p>
      <w:pPr>
        <w:spacing w:after="0"/>
      </w:pPr>
    </w:p>
    <w:p>
      <w:pPr>
        <w:pStyle w:val="Heading2"/>
      </w:pPr>
      <w:r>
        <w:t>Phạm vi thử nghiệm đề xuất</w:t>
      </w:r>
    </w:p>
    <w:p>
      <w:r>
        <w:rPr>
          <w:b w:val="0"/>
        </w:rPr>
        <w:t>Chọn một bên mua đầu chuỗi, một ngân hàng hoặc công ty tài chính đủ điều kiện và 10-20 nhà cung cấp; xử lý 30-50 bộ hồ sơ trong 8-12 tuần. Đây là mục tiêu thiết kế pilot, không phải kết quả đã đạt. Chọn các khoản phải thu đã nghiệm thu, kỳ hạn rõ, ít tranh chấp, giao dịch nội địa bằng VND; loại trừ hồ sơ đang tranh chấp hoặc chưa rõ quyền chuyển giao.</w:t>
      </w:r>
    </w:p>
    <w:p>
      <w:r>
        <w:rPr>
          <w:b w:val="0"/>
        </w:rPr>
        <w:t>Đo tỷ lệ bên mua xác nhận, thời gian từng bước, tỷ lệ hồ sơ đủ điều kiện, chi phí phục vụ và tỷ lệ sử dụng lại. Chỉ mở rộng khi có bên trả phí và quy trình đủ tin cậy. Chưa cần marketplace nhiều bên, mô hình neural hay nhiều loại tài sản bảo đảm trong pilot đầu tiên.</w:t>
      </w:r>
    </w:p>
    <w:p>
      <w:r>
        <w:br w:type="page"/>
      </w:r>
    </w:p>
    <w:p>
      <w:pPr>
        <w:pStyle w:val="Heading1"/>
      </w:pPr>
      <w:r>
        <w:t>3 Thị trường cạnh tranh và mô hình kinh doanh</w:t>
      </w:r>
    </w:p>
    <w:p>
      <w:pPr>
        <w:pStyle w:val="Heading2"/>
      </w:pPr>
      <w:r>
        <w:t>FCC không bước vào thị trường trống</w:t>
      </w:r>
    </w:p>
    <w:p>
      <w:r>
        <w:rPr>
          <w:b w:val="0"/>
        </w:rPr>
        <w:t>Hồ sơ đã liệt kê BIDV, HDBank và MISA. Nguồn BIDV SCFast 2026 xác nhận có nền tảng số SCF hỗ trợ quy trình tài trợ trực tuyến và kết nối ERP [L14]. Vì vậy, không nên trình bày số hóa hồ sơ hoặc tài trợ chuỗi cung ứng là phát minh chưa từng có. Đối thủ thực sự còn gồm quy trình ngân hàng đang dùng, ERP và cách doanh nghiệp quản lý qua Excel, email.</w:t>
      </w:r>
    </w:p>
    <w:tbl>
      <w:tblPr>
        <w:tblW w:type="auto" w:w="0"/>
        <w:jc w:val="center"/>
        <w:tblLayout w:type="fixed"/>
        <w:tblLook w:firstColumn="1" w:firstRow="1" w:lastColumn="0" w:lastRow="0" w:noHBand="0" w:noVBand="1" w:val="04A0"/>
      </w:tblPr>
      <w:tblGrid>
        <w:gridCol w:w="1984"/>
        <w:gridCol w:w="3855"/>
        <w:gridCol w:w="3912"/>
      </w:tblGrid>
      <w:tr>
        <w:trPr>
          <w:cantSplit/>
          <w:tblHeader/>
        </w:trPr>
        <w:tc>
          <w:tcPr>
            <w:tcW w:type="dxa" w:w="1984"/>
            <w:vAlign w:val="top"/>
            <w:shd w:fill="173F35"/>
          </w:tcPr>
          <w:p>
            <w:pPr>
              <w:spacing w:after="100" w:before="80" w:line="250" w:lineRule="auto"/>
            </w:pPr>
            <w:r>
              <w:rPr>
                <w:b/>
                <w:color w:val="FFFFFF"/>
                <w:sz w:val="18"/>
              </w:rPr>
              <w:t>Lựa chọn định vị</w:t>
            </w:r>
          </w:p>
        </w:tc>
        <w:tc>
          <w:tcPr>
            <w:tcW w:type="dxa" w:w="3855"/>
            <w:vAlign w:val="top"/>
            <w:shd w:fill="173F35"/>
          </w:tcPr>
          <w:p>
            <w:pPr>
              <w:spacing w:after="100" w:before="80" w:line="250" w:lineRule="auto"/>
            </w:pPr>
            <w:r>
              <w:rPr>
                <w:b/>
                <w:color w:val="FFFFFF"/>
                <w:sz w:val="18"/>
              </w:rPr>
              <w:t>Lợi thế có thể tạo</w:t>
            </w:r>
          </w:p>
        </w:tc>
        <w:tc>
          <w:tcPr>
            <w:tcW w:type="dxa" w:w="3912"/>
            <w:vAlign w:val="top"/>
            <w:shd w:fill="173F35"/>
          </w:tcPr>
          <w:p>
            <w:pPr>
              <w:spacing w:after="100" w:before="80" w:line="250" w:lineRule="auto"/>
            </w:pPr>
            <w:r>
              <w:rPr>
                <w:b/>
                <w:color w:val="FFFFFF"/>
                <w:sz w:val="18"/>
              </w:rPr>
              <w:t>Điều kiện kiểm chứng</w:t>
            </w:r>
          </w:p>
        </w:tc>
      </w:tr>
      <w:tr>
        <w:trPr>
          <w:cantSplit/>
        </w:trPr>
        <w:tc>
          <w:tcPr>
            <w:tcW w:type="dxa" w:w="1984"/>
            <w:vAlign w:val="top"/>
            <w:shd w:fill="F0F5F2"/>
          </w:tcPr>
          <w:p>
            <w:pPr>
              <w:spacing w:after="100" w:before="80" w:line="250" w:lineRule="auto"/>
            </w:pPr>
            <w:r>
              <w:rPr>
                <w:sz w:val="18"/>
              </w:rPr>
              <w:t>SaaS xác nhận công nợ</w:t>
            </w:r>
          </w:p>
        </w:tc>
        <w:tc>
          <w:tcPr>
            <w:tcW w:type="dxa" w:w="3855"/>
            <w:vAlign w:val="top"/>
            <w:shd w:fill="F0F5F2"/>
          </w:tcPr>
          <w:p>
            <w:pPr>
              <w:spacing w:after="100" w:before="80" w:line="250" w:lineRule="auto"/>
            </w:pPr>
            <w:r>
              <w:rPr>
                <w:sz w:val="18"/>
              </w:rPr>
              <w:t>Giảm thao tác cho bên mua; chuẩn hóa hồ sơ để chuyển ngân hàng.</w:t>
            </w:r>
          </w:p>
        </w:tc>
        <w:tc>
          <w:tcPr>
            <w:tcW w:type="dxa" w:w="3912"/>
            <w:vAlign w:val="top"/>
            <w:shd w:fill="F0F5F2"/>
          </w:tcPr>
          <w:p>
            <w:pPr>
              <w:spacing w:after="100" w:before="80" w:line="250" w:lineRule="auto"/>
            </w:pPr>
            <w:r>
              <w:rPr>
                <w:sz w:val="18"/>
              </w:rPr>
              <w:t>Thời gian xác nhận giảm và tỷ lệ hoàn tất tăng qua thử nghiệm đối chứng.</w:t>
            </w:r>
          </w:p>
        </w:tc>
      </w:tr>
      <w:tr>
        <w:trPr>
          <w:cantSplit/>
        </w:trPr>
        <w:tc>
          <w:tcPr>
            <w:tcW w:type="dxa" w:w="1984"/>
            <w:vAlign w:val="top"/>
            <w:shd w:fill="FFFFFF"/>
          </w:tcPr>
          <w:p>
            <w:pPr>
              <w:spacing w:after="100" w:before="80" w:line="250" w:lineRule="auto"/>
            </w:pPr>
            <w:r>
              <w:rPr>
                <w:sz w:val="18"/>
              </w:rPr>
              <w:t>Điều phối đa ngân hàng</w:t>
            </w:r>
          </w:p>
        </w:tc>
        <w:tc>
          <w:tcPr>
            <w:tcW w:type="dxa" w:w="3855"/>
            <w:vAlign w:val="top"/>
            <w:shd w:fill="FFFFFF"/>
          </w:tcPr>
          <w:p>
            <w:pPr>
              <w:spacing w:after="100" w:before="80" w:line="250" w:lineRule="auto"/>
            </w:pPr>
            <w:r>
              <w:rPr>
                <w:sz w:val="18"/>
              </w:rPr>
              <w:t>Một bộ hồ sơ, nhiều lựa chọn chi phí cho SME.</w:t>
            </w:r>
          </w:p>
        </w:tc>
        <w:tc>
          <w:tcPr>
            <w:tcW w:type="dxa" w:w="3912"/>
            <w:vAlign w:val="top"/>
            <w:shd w:fill="FFFFFF"/>
          </w:tcPr>
          <w:p>
            <w:pPr>
              <w:spacing w:after="100" w:before="80" w:line="250" w:lineRule="auto"/>
            </w:pPr>
            <w:r>
              <w:rPr>
                <w:sz w:val="18"/>
              </w:rPr>
              <w:t>Ít nhất hai bên tài trợ thật chấp nhận chia sẻ quy trình và báo giá so sánh được.</w:t>
            </w:r>
          </w:p>
        </w:tc>
      </w:tr>
      <w:tr>
        <w:trPr>
          <w:cantSplit/>
        </w:trPr>
        <w:tc>
          <w:tcPr>
            <w:tcW w:type="dxa" w:w="1984"/>
            <w:vAlign w:val="top"/>
            <w:shd w:fill="F0F5F2"/>
          </w:tcPr>
          <w:p>
            <w:pPr>
              <w:spacing w:after="100" w:before="80" w:line="250" w:lineRule="auto"/>
            </w:pPr>
            <w:r>
              <w:rPr>
                <w:sz w:val="18"/>
              </w:rPr>
              <w:t>Giải pháp theo ngành</w:t>
            </w:r>
          </w:p>
        </w:tc>
        <w:tc>
          <w:tcPr>
            <w:tcW w:type="dxa" w:w="3855"/>
            <w:vAlign w:val="top"/>
            <w:shd w:fill="F0F5F2"/>
          </w:tcPr>
          <w:p>
            <w:pPr>
              <w:spacing w:after="100" w:before="80" w:line="250" w:lineRule="auto"/>
            </w:pPr>
            <w:r>
              <w:rPr>
                <w:sz w:val="18"/>
              </w:rPr>
              <w:t>Hiểu hồ sơ nghiệm thu, trả hàng, khấu trừ và mùa vụ của một chuỗi.</w:t>
            </w:r>
          </w:p>
        </w:tc>
        <w:tc>
          <w:tcPr>
            <w:tcW w:type="dxa" w:w="3912"/>
            <w:vAlign w:val="top"/>
            <w:shd w:fill="F0F5F2"/>
          </w:tcPr>
          <w:p>
            <w:pPr>
              <w:spacing w:after="100" w:before="80" w:line="250" w:lineRule="auto"/>
            </w:pPr>
            <w:r>
              <w:rPr>
                <w:sz w:val="18"/>
              </w:rPr>
              <w:t>Một anchor buyer giới thiệu được mạng lưới nhà cung cấp và đồng ý thử nghiệm.</w:t>
            </w:r>
          </w:p>
        </w:tc>
      </w:tr>
      <w:tr>
        <w:trPr>
          <w:cantSplit/>
        </w:trPr>
        <w:tc>
          <w:tcPr>
            <w:tcW w:type="dxa" w:w="1984"/>
            <w:vAlign w:val="top"/>
            <w:shd w:fill="FFFFFF"/>
          </w:tcPr>
          <w:p>
            <w:pPr>
              <w:spacing w:after="100" w:before="80" w:line="250" w:lineRule="auto"/>
            </w:pPr>
            <w:r>
              <w:rPr>
                <w:sz w:val="18"/>
              </w:rPr>
              <w:t>Bán công nghệ cho ngân hàng</w:t>
            </w:r>
          </w:p>
        </w:tc>
        <w:tc>
          <w:tcPr>
            <w:tcW w:type="dxa" w:w="3855"/>
            <w:vAlign w:val="top"/>
            <w:shd w:fill="FFFFFF"/>
          </w:tcPr>
          <w:p>
            <w:pPr>
              <w:spacing w:after="100" w:before="80" w:line="250" w:lineRule="auto"/>
            </w:pPr>
            <w:r>
              <w:rPr>
                <w:sz w:val="18"/>
              </w:rPr>
              <w:t>Nguồn thu B2B rõ hơn việc thu nhiều khoản nhỏ ở SME.</w:t>
            </w:r>
          </w:p>
        </w:tc>
        <w:tc>
          <w:tcPr>
            <w:tcW w:type="dxa" w:w="3912"/>
            <w:vAlign w:val="top"/>
            <w:shd w:fill="FFFFFF"/>
          </w:tcPr>
          <w:p>
            <w:pPr>
              <w:spacing w:after="100" w:before="80" w:line="250" w:lineRule="auto"/>
            </w:pPr>
            <w:r>
              <w:rPr>
                <w:sz w:val="18"/>
              </w:rPr>
              <w:t>Chấp nhận chu kỳ bán hàng dài, kiểm tra nhà cung cấp và tích hợp.</w:t>
            </w:r>
          </w:p>
        </w:tc>
      </w:tr>
    </w:tbl>
    <w:p>
      <w:pPr>
        <w:spacing w:after="0"/>
      </w:pPr>
    </w:p>
    <w:p>
      <w:pPr>
        <w:pStyle w:val="Heading2"/>
      </w:pPr>
      <w:r>
        <w:t>Giả thuyết khác biệt nên chọn</w:t>
      </w:r>
    </w:p>
    <w:p>
      <w:r>
        <w:rPr>
          <w:b w:val="0"/>
        </w:rPr>
        <w:t>FCC giúp nhà cung cấp trong một chuỗi cụ thể tạo bộ hồ sơ khoản phải thu được bên mua xác nhận, có lịch sử thay đổi và chuyển cho bên tài trợ với tổng chi phí rõ ràng. Lợi thế cần chứng minh là giảm chi phí phối hợp và tăng tỷ lệ hồ sơ đủ điều kiện, thay vì thêm nhiều bảng điều khiển.</w:t>
      </w:r>
    </w:p>
    <w:p>
      <w:pPr>
        <w:pStyle w:val="Heading2"/>
      </w:pPr>
      <w:r>
        <w:t>Ai trả phí và vì sao</w:t>
      </w:r>
    </w:p>
    <w:p>
      <w:r>
        <w:rPr>
          <w:b w:val="0"/>
        </w:rPr>
        <w:t>Bắt đầu với một nguồn thu chính: phí SaaS do bên mua đầu chuỗi hoặc tổ chức tài trợ trả cho vận hành chương trình. Phí theo giao dịch chỉ thu khi có giá trị thực và thỏa thuận minh bạch. Sáu nguồn thu trong hồ sơ nên tách thành hiện tại, đang kiểm chứng và tương lai. Bán điểm tín dụng hoặc báo cáo dữ liệu không nên là giả định nền khi quyền khai thác chưa rõ.</w:t>
      </w:r>
    </w:p>
    <w:p>
      <w:r>
        <w:rPr>
          <w:b w:val="0"/>
        </w:rPr>
        <w:t>Cần có cơ chế chống xung đột lợi ích: hoa hồng không được âm thầm quyết định thứ tự gợi ý gói tài trợ. Hiển thị nguyên tắc xếp hạng, quan hệ tài trợ và tổng chi phí; cho phép người dùng tự sắp xếp. Tính số khách hàng đủ điều kiện từ dưới lên, không lấy tổng SME cả nước làm thị trường phục vụ ngay.</w:t>
      </w:r>
    </w:p>
    <w:p>
      <w:r>
        <w:br w:type="page"/>
      </w:r>
    </w:p>
    <w:p>
      <w:pPr>
        <w:pStyle w:val="Heading1"/>
      </w:pPr>
      <w:r>
        <w:t>4 Vai trò và trách nhiệm của FCC</w:t>
      </w:r>
    </w:p>
    <w:p>
      <w:r>
        <w:rPr>
          <w:b w:val="0"/>
        </w:rPr>
        <w:t>Định vị nên thống nhất: FCC vận hành nền tảng công nghệ quản lý khoản phải thu, điều phối xác nhận và trao đổi hồ sơ. Bên tài trợ chịu trách nhiệm quyết định tín dụng và thực hiện tiền theo hợp đồng. FCC vẫn chịu trách nhiệm đối với dịch vụ công nghệ, bảo mật, tính toàn vẹn và các thông tin do mình phát hành.</w:t>
      </w:r>
    </w:p>
    <w:tbl>
      <w:tblPr>
        <w:tblW w:type="auto" w:w="0"/>
        <w:jc w:val="center"/>
        <w:tblLayout w:type="fixed"/>
        <w:tblLook w:firstColumn="1" w:firstRow="1" w:lastColumn="0" w:lastRow="0" w:noHBand="0" w:noVBand="1" w:val="04A0"/>
      </w:tblPr>
      <w:tblGrid>
        <w:gridCol w:w="2438"/>
        <w:gridCol w:w="2948"/>
        <w:gridCol w:w="4365"/>
      </w:tblGrid>
      <w:tr>
        <w:trPr>
          <w:cantSplit/>
          <w:tblHeader/>
        </w:trPr>
        <w:tc>
          <w:tcPr>
            <w:tcW w:type="dxa" w:w="2438"/>
            <w:vAlign w:val="top"/>
            <w:shd w:fill="173F35"/>
          </w:tcPr>
          <w:p>
            <w:pPr>
              <w:spacing w:after="100" w:before="80" w:line="250" w:lineRule="auto"/>
            </w:pPr>
            <w:r>
              <w:rPr>
                <w:b/>
                <w:color w:val="FFFFFF"/>
                <w:sz w:val="18"/>
              </w:rPr>
              <w:t>Công việc</w:t>
            </w:r>
          </w:p>
        </w:tc>
        <w:tc>
          <w:tcPr>
            <w:tcW w:type="dxa" w:w="2948"/>
            <w:vAlign w:val="top"/>
            <w:shd w:fill="173F35"/>
          </w:tcPr>
          <w:p>
            <w:pPr>
              <w:spacing w:after="100" w:before="80" w:line="250" w:lineRule="auto"/>
            </w:pPr>
            <w:r>
              <w:rPr>
                <w:b/>
                <w:color w:val="FFFFFF"/>
                <w:sz w:val="18"/>
              </w:rPr>
              <w:t>Chủ thể chịu trách nhiệm chính</w:t>
            </w:r>
          </w:p>
        </w:tc>
        <w:tc>
          <w:tcPr>
            <w:tcW w:type="dxa" w:w="4365"/>
            <w:vAlign w:val="top"/>
            <w:shd w:fill="173F35"/>
          </w:tcPr>
          <w:p>
            <w:pPr>
              <w:spacing w:after="100" w:before="80" w:line="250" w:lineRule="auto"/>
            </w:pPr>
            <w:r>
              <w:rPr>
                <w:b/>
                <w:color w:val="FFFFFF"/>
                <w:sz w:val="18"/>
              </w:rPr>
              <w:t>Phạm vi FCC nên có</w:t>
            </w:r>
          </w:p>
        </w:tc>
      </w:tr>
      <w:tr>
        <w:trPr>
          <w:cantSplit/>
        </w:trPr>
        <w:tc>
          <w:tcPr>
            <w:tcW w:type="dxa" w:w="2438"/>
            <w:vAlign w:val="top"/>
            <w:shd w:fill="F0F5F2"/>
          </w:tcPr>
          <w:p>
            <w:pPr>
              <w:spacing w:after="100" w:before="80" w:line="250" w:lineRule="auto"/>
            </w:pPr>
            <w:r>
              <w:rPr>
                <w:sz w:val="18"/>
              </w:rPr>
              <w:t>Lập hóa đơn và chứng từ giao hàng</w:t>
            </w:r>
          </w:p>
        </w:tc>
        <w:tc>
          <w:tcPr>
            <w:tcW w:type="dxa" w:w="2948"/>
            <w:vAlign w:val="top"/>
            <w:shd w:fill="F0F5F2"/>
          </w:tcPr>
          <w:p>
            <w:pPr>
              <w:spacing w:after="100" w:before="80" w:line="250" w:lineRule="auto"/>
            </w:pPr>
            <w:r>
              <w:rPr>
                <w:sz w:val="18"/>
              </w:rPr>
              <w:t>Nhà cung cấp</w:t>
            </w:r>
          </w:p>
        </w:tc>
        <w:tc>
          <w:tcPr>
            <w:tcW w:type="dxa" w:w="4365"/>
            <w:vAlign w:val="top"/>
            <w:shd w:fill="F0F5F2"/>
          </w:tcPr>
          <w:p>
            <w:pPr>
              <w:spacing w:after="100" w:before="80" w:line="250" w:lineRule="auto"/>
            </w:pPr>
            <w:r>
              <w:rPr>
                <w:sz w:val="18"/>
              </w:rPr>
              <w:t>Nhập, chuẩn hóa, lưu phiên bản; không bảo đảm chỉ từ OCR rằng giao dịch có thật.</w:t>
            </w:r>
          </w:p>
        </w:tc>
      </w:tr>
      <w:tr>
        <w:trPr>
          <w:cantSplit/>
        </w:trPr>
        <w:tc>
          <w:tcPr>
            <w:tcW w:type="dxa" w:w="2438"/>
            <w:vAlign w:val="top"/>
            <w:shd w:fill="FFFFFF"/>
          </w:tcPr>
          <w:p>
            <w:pPr>
              <w:spacing w:after="100" w:before="80" w:line="250" w:lineRule="auto"/>
            </w:pPr>
            <w:r>
              <w:rPr>
                <w:sz w:val="18"/>
              </w:rPr>
              <w:t>Xác nhận nghiệm thu và công nợ</w:t>
            </w:r>
          </w:p>
        </w:tc>
        <w:tc>
          <w:tcPr>
            <w:tcW w:type="dxa" w:w="2948"/>
            <w:vAlign w:val="top"/>
            <w:shd w:fill="FFFFFF"/>
          </w:tcPr>
          <w:p>
            <w:pPr>
              <w:spacing w:after="100" w:before="80" w:line="250" w:lineRule="auto"/>
            </w:pPr>
            <w:r>
              <w:rPr>
                <w:sz w:val="18"/>
              </w:rPr>
              <w:t>Bên mua có thẩm quyền</w:t>
            </w:r>
          </w:p>
        </w:tc>
        <w:tc>
          <w:tcPr>
            <w:tcW w:type="dxa" w:w="4365"/>
            <w:vAlign w:val="top"/>
            <w:shd w:fill="FFFFFF"/>
          </w:tcPr>
          <w:p>
            <w:pPr>
              <w:spacing w:after="100" w:before="80" w:line="250" w:lineRule="auto"/>
            </w:pPr>
            <w:r>
              <w:rPr>
                <w:sz w:val="18"/>
              </w:rPr>
              <w:t>Điều phối xác nhận gắn phiên bản, số tiền, ngày đến hạn và chứng cứ đại diện.</w:t>
            </w:r>
          </w:p>
        </w:tc>
      </w:tr>
      <w:tr>
        <w:trPr>
          <w:cantSplit/>
        </w:trPr>
        <w:tc>
          <w:tcPr>
            <w:tcW w:type="dxa" w:w="2438"/>
            <w:vAlign w:val="top"/>
            <w:shd w:fill="F0F5F2"/>
          </w:tcPr>
          <w:p>
            <w:pPr>
              <w:spacing w:after="100" w:before="80" w:line="250" w:lineRule="auto"/>
            </w:pPr>
            <w:r>
              <w:rPr>
                <w:sz w:val="18"/>
              </w:rPr>
              <w:t>Thẩm định và quyết định tín dụng</w:t>
            </w:r>
          </w:p>
        </w:tc>
        <w:tc>
          <w:tcPr>
            <w:tcW w:type="dxa" w:w="2948"/>
            <w:vAlign w:val="top"/>
            <w:shd w:fill="F0F5F2"/>
          </w:tcPr>
          <w:p>
            <w:pPr>
              <w:spacing w:after="100" w:before="80" w:line="250" w:lineRule="auto"/>
            </w:pPr>
            <w:r>
              <w:rPr>
                <w:sz w:val="18"/>
              </w:rPr>
              <w:t>Tổ chức tài trợ đủ điều kiện</w:t>
            </w:r>
          </w:p>
        </w:tc>
        <w:tc>
          <w:tcPr>
            <w:tcW w:type="dxa" w:w="4365"/>
            <w:vAlign w:val="top"/>
            <w:shd w:fill="F0F5F2"/>
          </w:tcPr>
          <w:p>
            <w:pPr>
              <w:spacing w:after="100" w:before="80" w:line="250" w:lineRule="auto"/>
            </w:pPr>
            <w:r>
              <w:rPr>
                <w:sz w:val="18"/>
              </w:rPr>
              <w:t>Cung cấp hồ sơ, kiểm tra tính đầy đủ và tín hiệu tham khảo theo hợp đồng.</w:t>
            </w:r>
          </w:p>
        </w:tc>
      </w:tr>
      <w:tr>
        <w:trPr>
          <w:cantSplit/>
        </w:trPr>
        <w:tc>
          <w:tcPr>
            <w:tcW w:type="dxa" w:w="2438"/>
            <w:vAlign w:val="top"/>
            <w:shd w:fill="FFFFFF"/>
          </w:tcPr>
          <w:p>
            <w:pPr>
              <w:spacing w:after="100" w:before="80" w:line="250" w:lineRule="auto"/>
            </w:pPr>
            <w:r>
              <w:rPr>
                <w:sz w:val="18"/>
              </w:rPr>
              <w:t>Báo giá và hợp đồng tài trợ</w:t>
            </w:r>
          </w:p>
        </w:tc>
        <w:tc>
          <w:tcPr>
            <w:tcW w:type="dxa" w:w="2948"/>
            <w:vAlign w:val="top"/>
            <w:shd w:fill="FFFFFF"/>
          </w:tcPr>
          <w:p>
            <w:pPr>
              <w:spacing w:after="100" w:before="80" w:line="250" w:lineRule="auto"/>
            </w:pPr>
            <w:r>
              <w:rPr>
                <w:sz w:val="18"/>
              </w:rPr>
              <w:t>Bên tài trợ và khách hàng</w:t>
            </w:r>
          </w:p>
        </w:tc>
        <w:tc>
          <w:tcPr>
            <w:tcW w:type="dxa" w:w="4365"/>
            <w:vAlign w:val="top"/>
            <w:shd w:fill="FFFFFF"/>
          </w:tcPr>
          <w:p>
            <w:pPr>
              <w:spacing w:after="100" w:before="80" w:line="250" w:lineRule="auto"/>
            </w:pPr>
            <w:r>
              <w:rPr>
                <w:sz w:val="18"/>
              </w:rPr>
              <w:t>So sánh trên cùng giả định; lưu phiên bản; không tự thay đổi giá.</w:t>
            </w:r>
          </w:p>
        </w:tc>
      </w:tr>
      <w:tr>
        <w:trPr>
          <w:cantSplit/>
        </w:trPr>
        <w:tc>
          <w:tcPr>
            <w:tcW w:type="dxa" w:w="2438"/>
            <w:vAlign w:val="top"/>
            <w:shd w:fill="F0F5F2"/>
          </w:tcPr>
          <w:p>
            <w:pPr>
              <w:spacing w:after="100" w:before="80" w:line="250" w:lineRule="auto"/>
            </w:pPr>
            <w:r>
              <w:rPr>
                <w:sz w:val="18"/>
              </w:rPr>
              <w:t>Giải ngân và nhận tiền trả nợ</w:t>
            </w:r>
          </w:p>
        </w:tc>
        <w:tc>
          <w:tcPr>
            <w:tcW w:type="dxa" w:w="2948"/>
            <w:vAlign w:val="top"/>
            <w:shd w:fill="F0F5F2"/>
          </w:tcPr>
          <w:p>
            <w:pPr>
              <w:spacing w:after="100" w:before="80" w:line="250" w:lineRule="auto"/>
            </w:pPr>
            <w:r>
              <w:rPr>
                <w:sz w:val="18"/>
              </w:rPr>
              <w:t>Bên tài trợ và ngân hàng phục vụ</w:t>
            </w:r>
          </w:p>
        </w:tc>
        <w:tc>
          <w:tcPr>
            <w:tcW w:type="dxa" w:w="4365"/>
            <w:vAlign w:val="top"/>
            <w:shd w:fill="F0F5F2"/>
          </w:tcPr>
          <w:p>
            <w:pPr>
              <w:spacing w:after="100" w:before="80" w:line="250" w:lineRule="auto"/>
            </w:pPr>
            <w:r>
              <w:rPr>
                <w:sz w:val="18"/>
              </w:rPr>
              <w:t>Nhận trạng thái, đối soát; không nhận tiền khách vào tài khoản FCC.</w:t>
            </w:r>
          </w:p>
        </w:tc>
      </w:tr>
      <w:tr>
        <w:trPr>
          <w:cantSplit/>
        </w:trPr>
        <w:tc>
          <w:tcPr>
            <w:tcW w:type="dxa" w:w="2438"/>
            <w:vAlign w:val="top"/>
            <w:shd w:fill="FFFFFF"/>
          </w:tcPr>
          <w:p>
            <w:pPr>
              <w:spacing w:after="100" w:before="80" w:line="250" w:lineRule="auto"/>
            </w:pPr>
            <w:r>
              <w:rPr>
                <w:sz w:val="18"/>
              </w:rPr>
              <w:t>Quá hạn và xử lý tài sản</w:t>
            </w:r>
          </w:p>
        </w:tc>
        <w:tc>
          <w:tcPr>
            <w:tcW w:type="dxa" w:w="2948"/>
            <w:vAlign w:val="top"/>
            <w:shd w:fill="FFFFFF"/>
          </w:tcPr>
          <w:p>
            <w:pPr>
              <w:spacing w:after="100" w:before="80" w:line="250" w:lineRule="auto"/>
            </w:pPr>
            <w:r>
              <w:rPr>
                <w:sz w:val="18"/>
              </w:rPr>
              <w:t>Bên có quyền theo hợp đồng và pháp luật</w:t>
            </w:r>
          </w:p>
        </w:tc>
        <w:tc>
          <w:tcPr>
            <w:tcW w:type="dxa" w:w="4365"/>
            <w:vAlign w:val="top"/>
            <w:shd w:fill="FFFFFF"/>
          </w:tcPr>
          <w:p>
            <w:pPr>
              <w:spacing w:after="100" w:before="80" w:line="250" w:lineRule="auto"/>
            </w:pPr>
            <w:r>
              <w:rPr>
                <w:sz w:val="18"/>
              </w:rPr>
              <w:t>Nhắc lịch, cảnh báo và hỗ trợ hồ sơ trong phạm vi được phép.</w:t>
            </w:r>
          </w:p>
        </w:tc>
      </w:tr>
      <w:tr>
        <w:trPr>
          <w:cantSplit/>
        </w:trPr>
        <w:tc>
          <w:tcPr>
            <w:tcW w:type="dxa" w:w="2438"/>
            <w:vAlign w:val="top"/>
            <w:shd w:fill="F0F5F2"/>
          </w:tcPr>
          <w:p>
            <w:pPr>
              <w:spacing w:after="100" w:before="80" w:line="250" w:lineRule="auto"/>
            </w:pPr>
            <w:r>
              <w:rPr>
                <w:sz w:val="18"/>
              </w:rPr>
              <w:t>ESG và điểm phân tích do FCC phát hành</w:t>
            </w:r>
          </w:p>
        </w:tc>
        <w:tc>
          <w:tcPr>
            <w:tcW w:type="dxa" w:w="2948"/>
            <w:vAlign w:val="top"/>
            <w:shd w:fill="F0F5F2"/>
          </w:tcPr>
          <w:p>
            <w:pPr>
              <w:spacing w:after="100" w:before="80" w:line="250" w:lineRule="auto"/>
            </w:pPr>
            <w:r>
              <w:rPr>
                <w:sz w:val="18"/>
              </w:rPr>
              <w:t>FCC trong phạm vi dịch vụ thực tế</w:t>
            </w:r>
          </w:p>
        </w:tc>
        <w:tc>
          <w:tcPr>
            <w:tcW w:type="dxa" w:w="4365"/>
            <w:vAlign w:val="top"/>
            <w:shd w:fill="F0F5F2"/>
          </w:tcPr>
          <w:p>
            <w:pPr>
              <w:spacing w:after="100" w:before="80" w:line="250" w:lineRule="auto"/>
            </w:pPr>
            <w:r>
              <w:rPr>
                <w:sz w:val="18"/>
              </w:rPr>
              <w:t>Công bố phương pháp, dữ liệu, giới hạn, trách nhiệm sai sót và khiếu nại.</w:t>
            </w:r>
          </w:p>
        </w:tc>
      </w:tr>
    </w:tbl>
    <w:p>
      <w:pPr>
        <w:spacing w:after="0"/>
      </w:pPr>
    </w:p>
    <w:p>
      <w:pPr>
        <w:pStyle w:val="Heading2"/>
      </w:pPr>
      <w:r>
        <w:t>Mâu thuẫn phải sửa ngay trong hồ sơ</w:t>
      </w:r>
    </w:p>
    <w:p>
      <w:r>
        <w:rPr>
          <w:b w:val="0"/>
        </w:rPr>
        <w:t>Trang 63 mô tả CFO/CRO thẩm định hạn mức và CEO chỉ đạo giải ngân, trong khi trang 40-41 nói tổ chức tài chính phê duyệt, trực tiếp giải ngân. Cần đổi thành FCC kiểm tra tính đầy đủ, hỗ trợ phân tích và theo dõi kết quả do tổ chức tài trợ trả về. Chỉ người có thẩm quyền của bên tài trợ mới quyết định tiền.</w:t>
      </w:r>
    </w:p>
    <w:p>
      <w:r>
        <w:rPr>
          <w:b w:val="0"/>
        </w:rPr>
        <w:t>Trang 65 gọi dữ liệu giao dịch là tài sản bảo đảm có giá trị cao nhất. Dữ liệu là bằng chứng và đầu vào thẩm định; không tự trở thành biện pháp bảo đảm có hiệu lực. Phải tách quyền đòi nợ, hồ sơ chứng minh quyền và dữ liệu phân tích. Bên mua xác nhận công nợ cũng không mặc nhiên bảo lãnh cho mọi nghĩa vụ của nhà cung cấp.</w:t>
      </w:r>
    </w:p>
    <w:p>
      <w:r>
        <w:br w:type="page"/>
      </w:r>
    </w:p>
    <w:p>
      <w:pPr>
        <w:pStyle w:val="Heading1"/>
      </w:pPr>
      <w:r>
        <w:t>5 Pháp lý về tín dụng thanh toán và sandbox</w:t>
      </w:r>
    </w:p>
    <w:p>
      <w:r>
        <w:rPr>
          <w:b w:val="0"/>
        </w:rPr>
        <w:t>Đánh giá theo bản chất hoạt động, không theo tên gọi marketplace hoặc công nghệ thuần túy. Chưa có căn cứ kết luận FCC đang vi phạm; cũng chưa có căn cứ xác nhận toàn bộ mô hình đã đáp ứng điều kiện kinh doanh.</w:t>
      </w:r>
    </w:p>
    <w:tbl>
      <w:tblPr>
        <w:tblW w:type="auto" w:w="0"/>
        <w:jc w:val="center"/>
        <w:tblLayout w:type="fixed"/>
        <w:tblLook w:firstColumn="1" w:firstRow="1" w:lastColumn="0" w:lastRow="0" w:noHBand="0" w:noVBand="1" w:val="04A0"/>
      </w:tblPr>
      <w:tblGrid>
        <w:gridCol w:w="1871"/>
        <w:gridCol w:w="3969"/>
        <w:gridCol w:w="3912"/>
      </w:tblGrid>
      <w:tr>
        <w:trPr>
          <w:cantSplit/>
          <w:tblHeader/>
        </w:trPr>
        <w:tc>
          <w:tcPr>
            <w:tcW w:type="dxa" w:w="1871"/>
            <w:vAlign w:val="top"/>
            <w:shd w:fill="173F35"/>
          </w:tcPr>
          <w:p>
            <w:pPr>
              <w:spacing w:after="100" w:before="80" w:line="250" w:lineRule="auto"/>
            </w:pPr>
            <w:r>
              <w:rPr>
                <w:b/>
                <w:color w:val="FFFFFF"/>
                <w:sz w:val="18"/>
              </w:rPr>
              <w:t>Hoạt động</w:t>
            </w:r>
          </w:p>
        </w:tc>
        <w:tc>
          <w:tcPr>
            <w:tcW w:type="dxa" w:w="3969"/>
            <w:vAlign w:val="top"/>
            <w:shd w:fill="173F35"/>
          </w:tcPr>
          <w:p>
            <w:pPr>
              <w:spacing w:after="100" w:before="80" w:line="250" w:lineRule="auto"/>
            </w:pPr>
            <w:r>
              <w:rPr>
                <w:b/>
                <w:color w:val="FFFFFF"/>
                <w:sz w:val="18"/>
              </w:rPr>
              <w:t>Căn cứ và ranh giới</w:t>
            </w:r>
          </w:p>
        </w:tc>
        <w:tc>
          <w:tcPr>
            <w:tcW w:type="dxa" w:w="3912"/>
            <w:vAlign w:val="top"/>
            <w:shd w:fill="173F35"/>
          </w:tcPr>
          <w:p>
            <w:pPr>
              <w:spacing w:after="100" w:before="80" w:line="250" w:lineRule="auto"/>
            </w:pPr>
            <w:r>
              <w:rPr>
                <w:b/>
                <w:color w:val="FFFFFF"/>
                <w:sz w:val="18"/>
              </w:rPr>
              <w:t>Việc cần hoàn thiện</w:t>
            </w:r>
          </w:p>
        </w:tc>
      </w:tr>
      <w:tr>
        <w:trPr>
          <w:cantSplit/>
        </w:trPr>
        <w:tc>
          <w:tcPr>
            <w:tcW w:type="dxa" w:w="1871"/>
            <w:vAlign w:val="top"/>
            <w:shd w:fill="F0F5F2"/>
          </w:tcPr>
          <w:p>
            <w:pPr>
              <w:spacing w:after="100" w:before="80" w:line="250" w:lineRule="auto"/>
            </w:pPr>
            <w:r>
              <w:rPr>
                <w:sz w:val="18"/>
              </w:rPr>
              <w:t>Bao thanh toán và cấp tín dụng</w:t>
            </w:r>
          </w:p>
        </w:tc>
        <w:tc>
          <w:tcPr>
            <w:tcW w:type="dxa" w:w="3969"/>
            <w:vAlign w:val="top"/>
            <w:shd w:fill="F0F5F2"/>
          </w:tcPr>
          <w:p>
            <w:pPr>
              <w:spacing w:after="100" w:before="80" w:line="250" w:lineRule="auto"/>
            </w:pPr>
            <w:r>
              <w:rPr>
                <w:sz w:val="18"/>
              </w:rPr>
              <w:t>Luật Các TCTD 32/2024, cập nhật sửa đổi liên quan, và TT 20/2024/TT-NHNN [L1-L2]. Bao thanh toán là nghiệp vụ cấp tín dụng.</w:t>
            </w:r>
          </w:p>
        </w:tc>
        <w:tc>
          <w:tcPr>
            <w:tcW w:type="dxa" w:w="3912"/>
            <w:vAlign w:val="top"/>
            <w:shd w:fill="F0F5F2"/>
          </w:tcPr>
          <w:p>
            <w:pPr>
              <w:spacing w:after="100" w:before="80" w:line="250" w:lineRule="auto"/>
            </w:pPr>
            <w:r>
              <w:rPr>
                <w:sz w:val="18"/>
              </w:rPr>
              <w:t>Chỉ đưa sản phẩm của đối tác có thẩm quyền phù hợp. Lưu giấy phép, phạm vi hoạt động và thời hạn kiểm tra.</w:t>
            </w:r>
          </w:p>
        </w:tc>
      </w:tr>
      <w:tr>
        <w:trPr>
          <w:cantSplit/>
        </w:trPr>
        <w:tc>
          <w:tcPr>
            <w:tcW w:type="dxa" w:w="1871"/>
            <w:vAlign w:val="top"/>
            <w:shd w:fill="FFFFFF"/>
          </w:tcPr>
          <w:p>
            <w:pPr>
              <w:spacing w:after="100" w:before="80" w:line="250" w:lineRule="auto"/>
            </w:pPr>
            <w:r>
              <w:rPr>
                <w:sz w:val="18"/>
              </w:rPr>
              <w:t>Cho vay từ quỹ hoặc chủ thể khác</w:t>
            </w:r>
          </w:p>
        </w:tc>
        <w:tc>
          <w:tcPr>
            <w:tcW w:type="dxa" w:w="3969"/>
            <w:vAlign w:val="top"/>
            <w:shd w:fill="FFFFFF"/>
          </w:tcPr>
          <w:p>
            <w:pPr>
              <w:spacing w:after="100" w:before="80" w:line="250" w:lineRule="auto"/>
            </w:pPr>
            <w:r>
              <w:rPr>
                <w:sz w:val="18"/>
              </w:rPr>
              <w:t>Không phải mọi quỹ đầu tư đều được cung cấp mọi sản phẩm tài trợ như ngân hàng.</w:t>
            </w:r>
          </w:p>
        </w:tc>
        <w:tc>
          <w:tcPr>
            <w:tcW w:type="dxa" w:w="3912"/>
            <w:vAlign w:val="top"/>
            <w:shd w:fill="FFFFFF"/>
          </w:tcPr>
          <w:p>
            <w:pPr>
              <w:spacing w:after="100" w:before="80" w:line="250" w:lineRule="auto"/>
            </w:pPr>
            <w:r>
              <w:rPr>
                <w:sz w:val="18"/>
              </w:rPr>
              <w:t>Phân loại riêng từng nhà tài trợ và cấu trúc giao dịch; không mở chung vai trò lender chỉ bằng đăng ký doanh nghiệp.</w:t>
            </w:r>
          </w:p>
        </w:tc>
      </w:tr>
      <w:tr>
        <w:trPr>
          <w:cantSplit/>
        </w:trPr>
        <w:tc>
          <w:tcPr>
            <w:tcW w:type="dxa" w:w="1871"/>
            <w:vAlign w:val="top"/>
            <w:shd w:fill="F0F5F2"/>
          </w:tcPr>
          <w:p>
            <w:pPr>
              <w:spacing w:after="100" w:before="80" w:line="250" w:lineRule="auto"/>
            </w:pPr>
            <w:r>
              <w:rPr>
                <w:sz w:val="18"/>
              </w:rPr>
              <w:t>Giữ tiền và thu hộ chi hộ</w:t>
            </w:r>
          </w:p>
        </w:tc>
        <w:tc>
          <w:tcPr>
            <w:tcW w:type="dxa" w:w="3969"/>
            <w:vAlign w:val="top"/>
            <w:shd w:fill="F0F5F2"/>
          </w:tcPr>
          <w:p>
            <w:pPr>
              <w:spacing w:after="100" w:before="80" w:line="250" w:lineRule="auto"/>
            </w:pPr>
            <w:r>
              <w:rPr>
                <w:sz w:val="18"/>
              </w:rPr>
              <w:t>NĐ 52/2024 quy định hoạt động thanh toán, gồm các dịch vụ trung gian [L3].</w:t>
            </w:r>
          </w:p>
        </w:tc>
        <w:tc>
          <w:tcPr>
            <w:tcW w:type="dxa" w:w="3912"/>
            <w:vAlign w:val="top"/>
            <w:shd w:fill="F0F5F2"/>
          </w:tcPr>
          <w:p>
            <w:pPr>
              <w:spacing w:after="100" w:before="80" w:line="250" w:lineRule="auto"/>
            </w:pPr>
            <w:r>
              <w:rPr>
                <w:sz w:val="18"/>
              </w:rPr>
              <w:t>Thiết kế tiền đi trực tiếp giữa các bên qua tổ chức được phép; rà soát cả chức năng khởi tạo lệnh hoặc thu hộ nếu bổ sung.</w:t>
            </w:r>
          </w:p>
        </w:tc>
      </w:tr>
      <w:tr>
        <w:trPr>
          <w:cantSplit/>
        </w:trPr>
        <w:tc>
          <w:tcPr>
            <w:tcW w:type="dxa" w:w="1871"/>
            <w:vAlign w:val="top"/>
            <w:shd w:fill="FFFFFF"/>
          </w:tcPr>
          <w:p>
            <w:pPr>
              <w:spacing w:after="100" w:before="80" w:line="250" w:lineRule="auto"/>
            </w:pPr>
            <w:r>
              <w:rPr>
                <w:sz w:val="18"/>
              </w:rPr>
              <w:t>Chấm điểm và Open API</w:t>
            </w:r>
          </w:p>
        </w:tc>
        <w:tc>
          <w:tcPr>
            <w:tcW w:type="dxa" w:w="3969"/>
            <w:vAlign w:val="top"/>
            <w:shd w:fill="FFFFFF"/>
          </w:tcPr>
          <w:p>
            <w:pPr>
              <w:spacing w:after="100" w:before="80" w:line="250" w:lineRule="auto"/>
            </w:pPr>
            <w:r>
              <w:rPr>
                <w:sz w:val="18"/>
              </w:rPr>
              <w:t>NĐ 94/2025 có phạm vi thử nghiệm chấm điểm tín dụng, Open API, P2P [L4].</w:t>
            </w:r>
          </w:p>
        </w:tc>
        <w:tc>
          <w:tcPr>
            <w:tcW w:type="dxa" w:w="3912"/>
            <w:vAlign w:val="top"/>
            <w:shd w:fill="FFFFFF"/>
          </w:tcPr>
          <w:p>
            <w:pPr>
              <w:spacing w:after="100" w:before="80" w:line="250" w:lineRule="auto"/>
            </w:pPr>
            <w:r>
              <w:rPr>
                <w:sz w:val="18"/>
              </w:rPr>
              <w:t>Xác định sản phẩm có thuộc phạm vi cần cơ chế này hay hoạt động hợp pháp hiện hữu. Chưa được cấp chứng nhận thì không quảng bá đã được sandbox chấp thuận.</w:t>
            </w:r>
          </w:p>
        </w:tc>
      </w:tr>
      <w:tr>
        <w:trPr>
          <w:cantSplit/>
        </w:trPr>
        <w:tc>
          <w:tcPr>
            <w:tcW w:type="dxa" w:w="1871"/>
            <w:vAlign w:val="top"/>
            <w:shd w:fill="F0F5F2"/>
          </w:tcPr>
          <w:p>
            <w:pPr>
              <w:spacing w:after="100" w:before="80" w:line="250" w:lineRule="auto"/>
            </w:pPr>
            <w:r>
              <w:rPr>
                <w:sz w:val="18"/>
              </w:rPr>
              <w:t>Thông tin tín dụng thương mại</w:t>
            </w:r>
          </w:p>
        </w:tc>
        <w:tc>
          <w:tcPr>
            <w:tcW w:type="dxa" w:w="3969"/>
            <w:vAlign w:val="top"/>
            <w:shd w:fill="F0F5F2"/>
          </w:tcPr>
          <w:p>
            <w:pPr>
              <w:spacing w:after="100" w:before="80" w:line="250" w:lineRule="auto"/>
            </w:pPr>
            <w:r>
              <w:rPr>
                <w:sz w:val="18"/>
              </w:rPr>
              <w:t>NĐ 58/2021 và văn bản sửa đổi liên quan điều chỉnh dịch vụ thông tin tín dụng [L5].</w:t>
            </w:r>
          </w:p>
        </w:tc>
        <w:tc>
          <w:tcPr>
            <w:tcW w:type="dxa" w:w="3912"/>
            <w:vAlign w:val="top"/>
            <w:shd w:fill="F0F5F2"/>
          </w:tcPr>
          <w:p>
            <w:pPr>
              <w:spacing w:after="100" w:before="80" w:line="250" w:lineRule="auto"/>
            </w:pPr>
            <w:r>
              <w:rPr>
                <w:sz w:val="18"/>
              </w:rPr>
              <w:t>Luật sư phân loại dịch vụ thu thập, xử lý và bán điểm/báo cáo. Chữ tham khảo không tự loại bỏ nghĩa vụ.</w:t>
            </w:r>
          </w:p>
        </w:tc>
      </w:tr>
    </w:tbl>
    <w:p>
      <w:pPr>
        <w:spacing w:after="0"/>
      </w:pPr>
    </w:p>
    <w:p>
      <w:r>
        <w:rPr>
          <w:b w:val="0"/>
        </w:rPr>
        <w:t>Không được suy luận mọi phần mềm SaaS đều phải xin sandbox. Ngược lại, sandbox không thay thế giấy phép kinh doanh và không cho phép thực hiện mọi hoạt động tài chính. Cần lập bản mô tả sản phẩm, sơ đồ tiền, sơ đồ dữ liệu và hợp đồng để xin ý kiến chuyên môn theo phạm vi cụ thể.</w:t>
      </w:r>
    </w:p>
    <w:p>
      <w:r>
        <w:rPr>
          <w:b w:val="0"/>
        </w:rPr>
        <w:t>Cập nhật thời gian: Luật 23/2026/QH16 đã được ban hành nhưng đến 01/12/2026 mới có hiệu lực [L15]. Tại ngày đánh giá 18/10/2026, cần theo dõi để chuẩn bị thay đổi, không trình bày như căn cứ đã có hiệu lực. Luật 96/2025/QH15 đã có hiệu lực từ 15/10/2025 [L1b].</w:t>
      </w:r>
    </w:p>
    <w:p>
      <w:r>
        <w:br w:type="page"/>
      </w:r>
    </w:p>
    <w:p>
      <w:pPr>
        <w:pStyle w:val="Heading1"/>
      </w:pPr>
      <w:r>
        <w:t>6 Pháp lý về dữ liệu và chấm điểm</w:t>
      </w:r>
    </w:p>
    <w:p>
      <w:pPr>
        <w:pStyle w:val="Heading2"/>
      </w:pPr>
      <w:r>
        <w:t>Cập nhật khung dữ liệu cho thời điểm 2026</w:t>
      </w:r>
    </w:p>
    <w:p>
      <w:r>
        <w:rPr>
          <w:b w:val="0"/>
        </w:rPr>
        <w:t>Trang 67 và 69 của hồ sơ chủ yếu dựa vào NĐ 13/2023. Cần cập nhật Luật Bảo vệ dữ liệu cá nhân 91/2025/QH15 và NĐ 356/2025/NĐ-CP, cùng có hiệu lực từ 01/01/2026 [L6-L7]. Việc một doanh nghiệp cung cấp hồ sơ không mặc nhiên cho phép dùng mọi dữ liệu cá nhân của đại diện, nhân viên hoặc bên liên quan cho mọi mục đích.</w:t>
      </w:r>
    </w:p>
    <w:tbl>
      <w:tblPr>
        <w:tblW w:type="auto" w:w="0"/>
        <w:jc w:val="center"/>
        <w:tblLayout w:type="fixed"/>
        <w:tblLook w:firstColumn="1" w:firstRow="1" w:lastColumn="0" w:lastRow="0" w:noHBand="0" w:noVBand="1" w:val="04A0"/>
      </w:tblPr>
      <w:tblGrid>
        <w:gridCol w:w="1871"/>
        <w:gridCol w:w="3061"/>
        <w:gridCol w:w="4819"/>
      </w:tblGrid>
      <w:tr>
        <w:trPr>
          <w:cantSplit/>
          <w:tblHeader/>
        </w:trPr>
        <w:tc>
          <w:tcPr>
            <w:tcW w:type="dxa" w:w="1871"/>
            <w:vAlign w:val="top"/>
            <w:shd w:fill="173F35"/>
          </w:tcPr>
          <w:p>
            <w:pPr>
              <w:spacing w:after="100" w:before="80" w:line="250" w:lineRule="auto"/>
            </w:pPr>
            <w:r>
              <w:rPr>
                <w:b/>
                <w:color w:val="FFFFFF"/>
                <w:sz w:val="18"/>
              </w:rPr>
              <w:t>Nhóm dữ liệu</w:t>
            </w:r>
          </w:p>
        </w:tc>
        <w:tc>
          <w:tcPr>
            <w:tcW w:type="dxa" w:w="3061"/>
            <w:vAlign w:val="top"/>
            <w:shd w:fill="173F35"/>
          </w:tcPr>
          <w:p>
            <w:pPr>
              <w:spacing w:after="100" w:before="80" w:line="250" w:lineRule="auto"/>
            </w:pPr>
            <w:r>
              <w:rPr>
                <w:b/>
                <w:color w:val="FFFFFF"/>
                <w:sz w:val="18"/>
              </w:rPr>
              <w:t>Rủi ro cụ thể</w:t>
            </w:r>
          </w:p>
        </w:tc>
        <w:tc>
          <w:tcPr>
            <w:tcW w:type="dxa" w:w="4819"/>
            <w:vAlign w:val="top"/>
            <w:shd w:fill="173F35"/>
          </w:tcPr>
          <w:p>
            <w:pPr>
              <w:spacing w:after="100" w:before="80" w:line="250" w:lineRule="auto"/>
            </w:pPr>
            <w:r>
              <w:rPr>
                <w:b/>
                <w:color w:val="FFFFFF"/>
                <w:sz w:val="18"/>
              </w:rPr>
              <w:t>Kiểm soát cần có</w:t>
            </w:r>
          </w:p>
        </w:tc>
      </w:tr>
      <w:tr>
        <w:trPr>
          <w:cantSplit/>
        </w:trPr>
        <w:tc>
          <w:tcPr>
            <w:tcW w:type="dxa" w:w="1871"/>
            <w:vAlign w:val="top"/>
            <w:shd w:fill="F0F5F2"/>
          </w:tcPr>
          <w:p>
            <w:pPr>
              <w:spacing w:after="100" w:before="80" w:line="250" w:lineRule="auto"/>
            </w:pPr>
            <w:r>
              <w:rPr>
                <w:sz w:val="18"/>
              </w:rPr>
              <w:t>CCCD và đại diện pháp luật</w:t>
            </w:r>
          </w:p>
        </w:tc>
        <w:tc>
          <w:tcPr>
            <w:tcW w:type="dxa" w:w="3061"/>
            <w:vAlign w:val="top"/>
            <w:shd w:fill="F0F5F2"/>
          </w:tcPr>
          <w:p>
            <w:pPr>
              <w:spacing w:after="100" w:before="80" w:line="250" w:lineRule="auto"/>
            </w:pPr>
            <w:r>
              <w:rPr>
                <w:sz w:val="18"/>
              </w:rPr>
              <w:t>Giả mạo đại diện hoặc thu thập quá mức.</w:t>
            </w:r>
          </w:p>
        </w:tc>
        <w:tc>
          <w:tcPr>
            <w:tcW w:type="dxa" w:w="4819"/>
            <w:vAlign w:val="top"/>
            <w:shd w:fill="F0F5F2"/>
          </w:tcPr>
          <w:p>
            <w:pPr>
              <w:spacing w:after="100" w:before="80" w:line="250" w:lineRule="auto"/>
            </w:pPr>
            <w:r>
              <w:rPr>
                <w:sz w:val="18"/>
              </w:rPr>
              <w:t>Mục đích, căn cứ xử lý, quyền đại diện, giới hạn lưu trữ; hạn chế hiển thị trong nhật ký.</w:t>
            </w:r>
          </w:p>
        </w:tc>
      </w:tr>
      <w:tr>
        <w:trPr>
          <w:cantSplit/>
        </w:trPr>
        <w:tc>
          <w:tcPr>
            <w:tcW w:type="dxa" w:w="1871"/>
            <w:vAlign w:val="top"/>
            <w:shd w:fill="FFFFFF"/>
          </w:tcPr>
          <w:p>
            <w:pPr>
              <w:spacing w:after="100" w:before="80" w:line="250" w:lineRule="auto"/>
            </w:pPr>
            <w:r>
              <w:rPr>
                <w:sz w:val="18"/>
              </w:rPr>
              <w:t>Sao kê và thông tin tín dụng</w:t>
            </w:r>
          </w:p>
        </w:tc>
        <w:tc>
          <w:tcPr>
            <w:tcW w:type="dxa" w:w="3061"/>
            <w:vAlign w:val="top"/>
            <w:shd w:fill="FFFFFF"/>
          </w:tcPr>
          <w:p>
            <w:pPr>
              <w:spacing w:after="100" w:before="80" w:line="250" w:lineRule="auto"/>
            </w:pPr>
            <w:r>
              <w:rPr>
                <w:sz w:val="18"/>
              </w:rPr>
              <w:t>Dữ liệu nhạy cảm, tiết lộ giao dịch hoặc chấm điểm sai.</w:t>
            </w:r>
          </w:p>
        </w:tc>
        <w:tc>
          <w:tcPr>
            <w:tcW w:type="dxa" w:w="4819"/>
            <w:vAlign w:val="top"/>
            <w:shd w:fill="FFFFFF"/>
          </w:tcPr>
          <w:p>
            <w:pPr>
              <w:spacing w:after="100" w:before="80" w:line="250" w:lineRule="auto"/>
            </w:pPr>
            <w:r>
              <w:rPr>
                <w:sz w:val="18"/>
              </w:rPr>
              <w:t>Vai trò kiểm soát/xử lý, quyền truy cập, sự đồng ý khi pháp luật yêu cầu, sửa sai và truy vết.</w:t>
            </w:r>
          </w:p>
        </w:tc>
      </w:tr>
      <w:tr>
        <w:trPr>
          <w:cantSplit/>
        </w:trPr>
        <w:tc>
          <w:tcPr>
            <w:tcW w:type="dxa" w:w="1871"/>
            <w:vAlign w:val="top"/>
            <w:shd w:fill="F0F5F2"/>
          </w:tcPr>
          <w:p>
            <w:pPr>
              <w:spacing w:after="100" w:before="80" w:line="250" w:lineRule="auto"/>
            </w:pPr>
            <w:r>
              <w:rPr>
                <w:sz w:val="18"/>
              </w:rPr>
              <w:t>Hóa đơn và hợp đồng</w:t>
            </w:r>
          </w:p>
        </w:tc>
        <w:tc>
          <w:tcPr>
            <w:tcW w:type="dxa" w:w="3061"/>
            <w:vAlign w:val="top"/>
            <w:shd w:fill="F0F5F2"/>
          </w:tcPr>
          <w:p>
            <w:pPr>
              <w:spacing w:after="100" w:before="80" w:line="250" w:lineRule="auto"/>
            </w:pPr>
            <w:r>
              <w:rPr>
                <w:sz w:val="18"/>
              </w:rPr>
              <w:t>Bí mật kinh doanh và dữ liệu cá nhân trong chứng từ.</w:t>
            </w:r>
          </w:p>
        </w:tc>
        <w:tc>
          <w:tcPr>
            <w:tcW w:type="dxa" w:w="4819"/>
            <w:vAlign w:val="top"/>
            <w:shd w:fill="F0F5F2"/>
          </w:tcPr>
          <w:p>
            <w:pPr>
              <w:spacing w:after="100" w:before="80" w:line="250" w:lineRule="auto"/>
            </w:pPr>
            <w:r>
              <w:rPr>
                <w:sz w:val="18"/>
              </w:rPr>
              <w:t>Chia sẻ theo từng hồ sơ, bên nhận, mục đích và thời hạn; kiểm soát tệp tải về.</w:t>
            </w:r>
          </w:p>
        </w:tc>
      </w:tr>
      <w:tr>
        <w:trPr>
          <w:cantSplit/>
        </w:trPr>
        <w:tc>
          <w:tcPr>
            <w:tcW w:type="dxa" w:w="1871"/>
            <w:vAlign w:val="top"/>
            <w:shd w:fill="FFFFFF"/>
          </w:tcPr>
          <w:p>
            <w:pPr>
              <w:spacing w:after="100" w:before="80" w:line="250" w:lineRule="auto"/>
            </w:pPr>
            <w:r>
              <w:rPr>
                <w:sz w:val="18"/>
              </w:rPr>
              <w:t>CIC và dữ liệu thuế</w:t>
            </w:r>
          </w:p>
        </w:tc>
        <w:tc>
          <w:tcPr>
            <w:tcW w:type="dxa" w:w="3061"/>
            <w:vAlign w:val="top"/>
            <w:shd w:fill="FFFFFF"/>
          </w:tcPr>
          <w:p>
            <w:pPr>
              <w:spacing w:after="100" w:before="80" w:line="250" w:lineRule="auto"/>
            </w:pPr>
            <w:r>
              <w:rPr>
                <w:sz w:val="18"/>
              </w:rPr>
              <w:t>Có consent nhưng không có quyền truy cập nguồn hoặc API.</w:t>
            </w:r>
          </w:p>
        </w:tc>
        <w:tc>
          <w:tcPr>
            <w:tcW w:type="dxa" w:w="4819"/>
            <w:vAlign w:val="top"/>
            <w:shd w:fill="FFFFFF"/>
          </w:tcPr>
          <w:p>
            <w:pPr>
              <w:spacing w:after="100" w:before="80" w:line="250" w:lineRule="auto"/>
            </w:pPr>
            <w:r>
              <w:rPr>
                <w:sz w:val="18"/>
              </w:rPr>
              <w:t>Hợp đồng và thẩm quyền khai thác hợp lệ; tách nguồn thật với nguồn mô phỏng.</w:t>
            </w:r>
          </w:p>
        </w:tc>
      </w:tr>
      <w:tr>
        <w:trPr>
          <w:cantSplit/>
        </w:trPr>
        <w:tc>
          <w:tcPr>
            <w:tcW w:type="dxa" w:w="1871"/>
            <w:vAlign w:val="top"/>
            <w:shd w:fill="F0F5F2"/>
          </w:tcPr>
          <w:p>
            <w:pPr>
              <w:spacing w:after="100" w:before="80" w:line="250" w:lineRule="auto"/>
            </w:pPr>
            <w:r>
              <w:rPr>
                <w:sz w:val="18"/>
              </w:rPr>
              <w:t>AI và tái sử dụng dữ liệu</w:t>
            </w:r>
          </w:p>
        </w:tc>
        <w:tc>
          <w:tcPr>
            <w:tcW w:type="dxa" w:w="3061"/>
            <w:vAlign w:val="top"/>
            <w:shd w:fill="F0F5F2"/>
          </w:tcPr>
          <w:p>
            <w:pPr>
              <w:spacing w:after="100" w:before="80" w:line="250" w:lineRule="auto"/>
            </w:pPr>
            <w:r>
              <w:rPr>
                <w:sz w:val="18"/>
              </w:rPr>
              <w:t>Dùng ngoài mục đích ban đầu, tái nhận dạng.</w:t>
            </w:r>
          </w:p>
        </w:tc>
        <w:tc>
          <w:tcPr>
            <w:tcW w:type="dxa" w:w="4819"/>
            <w:vAlign w:val="top"/>
            <w:shd w:fill="F0F5F2"/>
          </w:tcPr>
          <w:p>
            <w:pPr>
              <w:spacing w:after="100" w:before="80" w:line="250" w:lineRule="auto"/>
            </w:pPr>
            <w:r>
              <w:rPr>
                <w:sz w:val="18"/>
              </w:rPr>
              <w:t>Căn cứ riêng cho huấn luyện; giảm dữ liệu, kiểm tra ẩn danh và nhà cung cấp phụ.</w:t>
            </w:r>
          </w:p>
        </w:tc>
      </w:tr>
      <w:tr>
        <w:trPr>
          <w:cantSplit/>
        </w:trPr>
        <w:tc>
          <w:tcPr>
            <w:tcW w:type="dxa" w:w="1871"/>
            <w:vAlign w:val="top"/>
            <w:shd w:fill="FFFFFF"/>
          </w:tcPr>
          <w:p>
            <w:pPr>
              <w:spacing w:after="100" w:before="80" w:line="250" w:lineRule="auto"/>
            </w:pPr>
            <w:r>
              <w:rPr>
                <w:sz w:val="18"/>
              </w:rPr>
              <w:t>Cloud và xử lý bên ngoài</w:t>
            </w:r>
          </w:p>
        </w:tc>
        <w:tc>
          <w:tcPr>
            <w:tcW w:type="dxa" w:w="3061"/>
            <w:vAlign w:val="top"/>
            <w:shd w:fill="FFFFFF"/>
          </w:tcPr>
          <w:p>
            <w:pPr>
              <w:spacing w:after="100" w:before="80" w:line="250" w:lineRule="auto"/>
            </w:pPr>
            <w:r>
              <w:rPr>
                <w:sz w:val="18"/>
              </w:rPr>
              <w:t>Dữ liệu ra nước ngoài hoặc được nhà cung cấp truy cập.</w:t>
            </w:r>
          </w:p>
        </w:tc>
        <w:tc>
          <w:tcPr>
            <w:tcW w:type="dxa" w:w="4819"/>
            <w:vAlign w:val="top"/>
            <w:shd w:fill="FFFFFF"/>
          </w:tcPr>
          <w:p>
            <w:pPr>
              <w:spacing w:after="100" w:before="80" w:line="250" w:lineRule="auto"/>
            </w:pPr>
            <w:r>
              <w:rPr>
                <w:sz w:val="18"/>
              </w:rPr>
              <w:t>Lập bản đồ luồng dữ liệu; đánh giá nghĩa vụ hồ sơ tác động, chuyển dữ liệu và hợp đồng theo luật áp dụng.</w:t>
            </w:r>
          </w:p>
        </w:tc>
      </w:tr>
    </w:tbl>
    <w:p>
      <w:pPr>
        <w:spacing w:after="0"/>
      </w:pPr>
    </w:p>
    <w:p>
      <w:r>
        <w:rPr>
          <w:b w:val="0"/>
        </w:rPr>
        <w:t>Phải tách dữ liệu pháp nhân với dữ liệu cá nhân; bảo mật cả hai theo đúng căn cứ. Với thông tin tín dụng của cá nhân, nguồn chính thức nhấn mạnh yêu cầu đồng ý trước khi dùng để chấm điểm, xếp hạng [L6a]. Không được mở rộng phát biểu này thành một quy tắc duy nhất cho toàn bộ dữ liệu doanh nghiệp.</w:t>
      </w:r>
    </w:p>
    <w:p>
      <w:pPr>
        <w:pStyle w:val="Heading2"/>
      </w:pPr>
      <w:r>
        <w:t>Thu hồi quyền không có nghĩa xóa mọi chứng cứ ngay lập tức</w:t>
      </w:r>
    </w:p>
    <w:p>
      <w:r>
        <w:rPr>
          <w:b w:val="0"/>
        </w:rPr>
        <w:t>Giao diện cài đặt nói thu hồi có hiệu lực với truy cập mới. Cần giải thích riêng dữ liệu đã xuất, hợp đồng đã ký, nghĩa vụ lưu giữ, bản sao lưu và dữ liệu đã chuyển hợp lệ. Cung cấp nhật ký ai đã xem gì; có quy trình xử lý yêu cầu, khiếu nại và sự cố. Đây là tiêu chí cần nghiệm thu, chưa được xác nhận hoạt động trong phiên đánh giá.</w:t>
      </w:r>
    </w:p>
    <w:p>
      <w:r>
        <w:br w:type="page"/>
      </w:r>
    </w:p>
    <w:p>
      <w:pPr>
        <w:pStyle w:val="Heading1"/>
      </w:pPr>
      <w:r>
        <w:t>7 Hợp đồng hóa đơn và tiêu chí xanh</w:t>
      </w:r>
    </w:p>
    <w:p>
      <w:pPr>
        <w:pStyle w:val="Heading2"/>
      </w:pPr>
      <w:r>
        <w:t>Hóa đơn hợp lệ chưa đủ để tài trợ an toàn</w:t>
      </w:r>
    </w:p>
    <w:p>
      <w:r>
        <w:rPr>
          <w:b w:val="0"/>
        </w:rPr>
        <w:t>Đối chiếu hóa đơn theo NĐ 123/2020 và sửa đổi NĐ 70/2025 [L10] cần đi cùng hợp đồng, giao hàng/biên bản nghiệm thu, công nợ còn lại, trả hàng, bù trừ và quyền chuyển giao. OCR chỉ trích xuất chữ; kết quả đối soát thuế không tự chứng minh đã giao hàng, không tranh chấp hoặc chưa được tài trợ ở nơi khác.</w:t>
      </w:r>
    </w:p>
    <w:tbl>
      <w:tblPr>
        <w:tblW w:type="auto" w:w="0"/>
        <w:jc w:val="center"/>
        <w:tblLayout w:type="fixed"/>
        <w:tblLook w:firstColumn="1" w:firstRow="1" w:lastColumn="0" w:lastRow="0" w:noHBand="0" w:noVBand="1" w:val="04A0"/>
      </w:tblPr>
      <w:tblGrid>
        <w:gridCol w:w="2891"/>
        <w:gridCol w:w="6860"/>
      </w:tblGrid>
      <w:tr>
        <w:trPr>
          <w:cantSplit/>
          <w:tblHeader/>
        </w:trPr>
        <w:tc>
          <w:tcPr>
            <w:tcW w:type="dxa" w:w="2891"/>
            <w:vAlign w:val="top"/>
            <w:shd w:fill="173F35"/>
          </w:tcPr>
          <w:p>
            <w:pPr>
              <w:spacing w:after="100" w:before="80" w:line="250" w:lineRule="auto"/>
            </w:pPr>
            <w:r>
              <w:rPr>
                <w:b/>
                <w:color w:val="FFFFFF"/>
                <w:sz w:val="18"/>
              </w:rPr>
              <w:t>Hồ sơ pháp lý cần có</w:t>
            </w:r>
          </w:p>
        </w:tc>
        <w:tc>
          <w:tcPr>
            <w:tcW w:type="dxa" w:w="6860"/>
            <w:vAlign w:val="top"/>
            <w:shd w:fill="173F35"/>
          </w:tcPr>
          <w:p>
            <w:pPr>
              <w:spacing w:after="100" w:before="80" w:line="250" w:lineRule="auto"/>
            </w:pPr>
            <w:r>
              <w:rPr>
                <w:b/>
                <w:color w:val="FFFFFF"/>
                <w:sz w:val="18"/>
              </w:rPr>
              <w:t>Nội dung tối thiểu</w:t>
            </w:r>
          </w:p>
        </w:tc>
      </w:tr>
      <w:tr>
        <w:trPr>
          <w:cantSplit/>
        </w:trPr>
        <w:tc>
          <w:tcPr>
            <w:tcW w:type="dxa" w:w="2891"/>
            <w:vAlign w:val="top"/>
            <w:shd w:fill="F0F5F2"/>
          </w:tcPr>
          <w:p>
            <w:pPr>
              <w:spacing w:after="100" w:before="80" w:line="250" w:lineRule="auto"/>
            </w:pPr>
            <w:r>
              <w:rPr>
                <w:sz w:val="18"/>
              </w:rPr>
              <w:t>Điều khoản sử dụng nền tảng</w:t>
            </w:r>
          </w:p>
        </w:tc>
        <w:tc>
          <w:tcPr>
            <w:tcW w:type="dxa" w:w="6860"/>
            <w:vAlign w:val="top"/>
            <w:shd w:fill="F0F5F2"/>
          </w:tcPr>
          <w:p>
            <w:pPr>
              <w:spacing w:after="100" w:before="80" w:line="250" w:lineRule="auto"/>
            </w:pPr>
            <w:r>
              <w:rPr>
                <w:sz w:val="18"/>
              </w:rPr>
              <w:t>Phạm vi dịch vụ, trách nhiệm, phí, gián đoạn, khiếu nại, chấm dứt và xuất dữ liệu.</w:t>
            </w:r>
          </w:p>
        </w:tc>
      </w:tr>
      <w:tr>
        <w:trPr>
          <w:cantSplit/>
        </w:trPr>
        <w:tc>
          <w:tcPr>
            <w:tcW w:type="dxa" w:w="2891"/>
            <w:vAlign w:val="top"/>
            <w:shd w:fill="FFFFFF"/>
          </w:tcPr>
          <w:p>
            <w:pPr>
              <w:spacing w:after="100" w:before="80" w:line="250" w:lineRule="auto"/>
            </w:pPr>
            <w:r>
              <w:rPr>
                <w:sz w:val="18"/>
              </w:rPr>
              <w:t>Thỏa thuận với bên tài trợ</w:t>
            </w:r>
          </w:p>
        </w:tc>
        <w:tc>
          <w:tcPr>
            <w:tcW w:type="dxa" w:w="6860"/>
            <w:vAlign w:val="top"/>
            <w:shd w:fill="FFFFFF"/>
          </w:tcPr>
          <w:p>
            <w:pPr>
              <w:spacing w:after="100" w:before="80" w:line="250" w:lineRule="auto"/>
            </w:pPr>
            <w:r>
              <w:rPr>
                <w:sz w:val="18"/>
              </w:rPr>
              <w:t>Thẩm quyền tín dụng, dữ liệu, SLA, chia sẻ phí, kiểm soát thuê ngoài, xử lý sự cố và trách nhiệm bồi thường.</w:t>
            </w:r>
          </w:p>
        </w:tc>
      </w:tr>
      <w:tr>
        <w:trPr>
          <w:cantSplit/>
        </w:trPr>
        <w:tc>
          <w:tcPr>
            <w:tcW w:type="dxa" w:w="2891"/>
            <w:vAlign w:val="top"/>
            <w:shd w:fill="F0F5F2"/>
          </w:tcPr>
          <w:p>
            <w:pPr>
              <w:spacing w:after="100" w:before="80" w:line="250" w:lineRule="auto"/>
            </w:pPr>
            <w:r>
              <w:rPr>
                <w:sz w:val="18"/>
              </w:rPr>
              <w:t>Xác nhận công nợ của bên mua</w:t>
            </w:r>
          </w:p>
        </w:tc>
        <w:tc>
          <w:tcPr>
            <w:tcW w:type="dxa" w:w="6860"/>
            <w:vAlign w:val="top"/>
            <w:shd w:fill="F0F5F2"/>
          </w:tcPr>
          <w:p>
            <w:pPr>
              <w:spacing w:after="100" w:before="80" w:line="250" w:lineRule="auto"/>
            </w:pPr>
            <w:r>
              <w:rPr>
                <w:sz w:val="18"/>
              </w:rPr>
              <w:t>Chủ thể và thẩm quyền, phiên bản hóa đơn, số tiền chưa trả, ngày đến hạn, tình trạng nghiệm thu, ngoại lệ và tranh chấp.</w:t>
            </w:r>
          </w:p>
        </w:tc>
      </w:tr>
      <w:tr>
        <w:trPr>
          <w:cantSplit/>
        </w:trPr>
        <w:tc>
          <w:tcPr>
            <w:tcW w:type="dxa" w:w="2891"/>
            <w:vAlign w:val="top"/>
            <w:shd w:fill="FFFFFF"/>
          </w:tcPr>
          <w:p>
            <w:pPr>
              <w:spacing w:after="100" w:before="80" w:line="250" w:lineRule="auto"/>
            </w:pPr>
            <w:r>
              <w:rPr>
                <w:sz w:val="18"/>
              </w:rPr>
              <w:t>Thỏa thuận chuyển giao hoặc tài trợ</w:t>
            </w:r>
          </w:p>
        </w:tc>
        <w:tc>
          <w:tcPr>
            <w:tcW w:type="dxa" w:w="6860"/>
            <w:vAlign w:val="top"/>
            <w:shd w:fill="FFFFFF"/>
          </w:tcPr>
          <w:p>
            <w:pPr>
              <w:spacing w:after="100" w:before="80" w:line="250" w:lineRule="auto"/>
            </w:pPr>
            <w:r>
              <w:rPr>
                <w:sz w:val="18"/>
              </w:rPr>
              <w:t>Quyền được chuyển, thông báo bên có nghĩa vụ, có/không truy đòi, cơ chế trả tiền, bù trừ, quá hạn và phần giữ lại.</w:t>
            </w:r>
          </w:p>
        </w:tc>
      </w:tr>
      <w:tr>
        <w:trPr>
          <w:cantSplit/>
        </w:trPr>
        <w:tc>
          <w:tcPr>
            <w:tcW w:type="dxa" w:w="2891"/>
            <w:vAlign w:val="top"/>
            <w:shd w:fill="F0F5F2"/>
          </w:tcPr>
          <w:p>
            <w:pPr>
              <w:spacing w:after="100" w:before="80" w:line="250" w:lineRule="auto"/>
            </w:pPr>
            <w:r>
              <w:rPr>
                <w:sz w:val="18"/>
              </w:rPr>
              <w:t>Chia sẻ và xử lý dữ liệu</w:t>
            </w:r>
          </w:p>
        </w:tc>
        <w:tc>
          <w:tcPr>
            <w:tcW w:type="dxa" w:w="6860"/>
            <w:vAlign w:val="top"/>
            <w:shd w:fill="F0F5F2"/>
          </w:tcPr>
          <w:p>
            <w:pPr>
              <w:spacing w:after="100" w:before="80" w:line="250" w:lineRule="auto"/>
            </w:pPr>
            <w:r>
              <w:rPr>
                <w:sz w:val="18"/>
              </w:rPr>
              <w:t>Bên kiểm soát/xử lý, căn cứ, mục đích, thời hạn, bên nhận, nhà thầu phụ và chuyển dữ liệu.</w:t>
            </w:r>
          </w:p>
        </w:tc>
      </w:tr>
      <w:tr>
        <w:trPr>
          <w:cantSplit/>
        </w:trPr>
        <w:tc>
          <w:tcPr>
            <w:tcW w:type="dxa" w:w="2891"/>
            <w:vAlign w:val="top"/>
            <w:shd w:fill="FFFFFF"/>
          </w:tcPr>
          <w:p>
            <w:pPr>
              <w:spacing w:after="100" w:before="80" w:line="250" w:lineRule="auto"/>
            </w:pPr>
            <w:r>
              <w:rPr>
                <w:sz w:val="18"/>
              </w:rPr>
              <w:t>Chứng cứ điện tử</w:t>
            </w:r>
          </w:p>
        </w:tc>
        <w:tc>
          <w:tcPr>
            <w:tcW w:type="dxa" w:w="6860"/>
            <w:vAlign w:val="top"/>
            <w:shd w:fill="FFFFFF"/>
          </w:tcPr>
          <w:p>
            <w:pPr>
              <w:spacing w:after="100" w:before="80" w:line="250" w:lineRule="auto"/>
            </w:pPr>
            <w:r>
              <w:rPr>
                <w:sz w:val="18"/>
              </w:rPr>
              <w:t>Nội dung ký, người ký, thẩm quyền, chứng thư nếu áp dụng, phiên bản, thời điểm và kiểm tra tính toàn vẹn.</w:t>
            </w:r>
          </w:p>
        </w:tc>
      </w:tr>
    </w:tbl>
    <w:p>
      <w:pPr>
        <w:spacing w:after="0"/>
      </w:pPr>
    </w:p>
    <w:p>
      <w:r>
        <w:rPr>
          <w:b w:val="0"/>
        </w:rPr>
        <w:t>Luật Giao dịch điện tử 20/2023 và NĐ 23/2025 [L8-L9] là căn cứ cho thiết kế chứng cứ. MFA xác thực quyền truy cập; không mặc nhiên tương đương chữ ký số hoặc thay thế thẩm quyền đại diện. Cơ chế chuyển giao quyền yêu cầu cần đối chiếu Bộ luật Dân sự và hợp đồng gốc [L12].</w:t>
      </w:r>
    </w:p>
    <w:p>
      <w:pPr>
        <w:pStyle w:val="Heading2"/>
      </w:pPr>
      <w:r>
        <w:t>ESG nội bộ cần tách khỏi chứng nhận xanh</w:t>
      </w:r>
    </w:p>
    <w:p>
      <w:r>
        <w:rPr>
          <w:b w:val="0"/>
        </w:rPr>
        <w:t>Bộ 18 chỉ tiêu FCC có thể dùng để thu thập bằng chứng và hỗ trợ xem xét. Nó không tự là chứng nhận dự án thuộc danh mục phân loại xanh theo QĐ 21/2025/QĐ-TTg [L13]. Không tự cam kết giảm lãi 0,3-0,7 điểm phần trăm nếu bên tài trợ chưa có chính sách và ngân sách chấp thuận. Tách điểm ESG, điều kiện sản phẩm xanh và quyết định giá.</w:t>
      </w:r>
    </w:p>
    <w:p>
      <w:r>
        <w:rPr>
          <w:b w:val="0"/>
        </w:rPr>
        <w:t>Đối với phòng chống rửa tiền, xác định FCC có thuộc đối tượng báo cáo theo hoạt động thực tế, không mặc nhiên gán toàn bộ nghĩa vụ của ngân hàng cho nhà cung cấp phần mềm. Đối tác phải phân công KYB, chủ sở hữu hưởng lợi, sàng lọc và xử lý dấu hiệu bất thường [L11].</w:t>
      </w:r>
    </w:p>
    <w:p>
      <w:r>
        <w:br w:type="page"/>
      </w:r>
    </w:p>
    <w:p>
      <w:pPr>
        <w:pStyle w:val="Heading1"/>
      </w:pPr>
      <w:r>
        <w:t>8 UI UX và độ tin cậy của thông tin</w:t>
      </w:r>
    </w:p>
    <w:p>
      <w:r>
        <w:rPr>
          <w:b w:val="0"/>
        </w:rPr>
        <w:t>Điểm tốt: bố cục desktop sáng, màu xanh nhất quán, điều hướng rõ và có liên kết bỏ qua điều hướng. Trang quản trị đã hiển thị số mẫu cho thời gian xử lý; khu vực ESG ngăn phát hành khi chưa đủ độ bao phủ. Đây là hướng thiết kế phù hợp cho ứng dụng tài chính [W1-W6].</w:t>
      </w:r>
    </w:p>
    <w:tbl>
      <w:tblPr>
        <w:tblW w:type="auto" w:w="0"/>
        <w:jc w:val="center"/>
        <w:tblLayout w:type="fixed"/>
        <w:tblLook w:firstColumn="1" w:firstRow="1" w:lastColumn="0" w:lastRow="0" w:noHBand="0" w:noVBand="1" w:val="04A0"/>
      </w:tblPr>
      <w:tblGrid>
        <w:gridCol w:w="1417"/>
        <w:gridCol w:w="3969"/>
        <w:gridCol w:w="4365"/>
      </w:tblGrid>
      <w:tr>
        <w:trPr>
          <w:cantSplit/>
          <w:tblHeader/>
        </w:trPr>
        <w:tc>
          <w:tcPr>
            <w:tcW w:type="dxa" w:w="1417"/>
            <w:vAlign w:val="top"/>
            <w:shd w:fill="173F35"/>
          </w:tcPr>
          <w:p>
            <w:pPr>
              <w:spacing w:after="100" w:before="80" w:line="250" w:lineRule="auto"/>
            </w:pPr>
            <w:r>
              <w:rPr>
                <w:b/>
                <w:color w:val="FFFFFF"/>
                <w:sz w:val="18"/>
              </w:rPr>
              <w:t>Mã và mức</w:t>
            </w:r>
          </w:p>
        </w:tc>
        <w:tc>
          <w:tcPr>
            <w:tcW w:type="dxa" w:w="3969"/>
            <w:vAlign w:val="top"/>
            <w:shd w:fill="173F35"/>
          </w:tcPr>
          <w:p>
            <w:pPr>
              <w:spacing w:after="100" w:before="80" w:line="250" w:lineRule="auto"/>
            </w:pPr>
            <w:r>
              <w:rPr>
                <w:b/>
                <w:color w:val="FFFFFF"/>
                <w:sz w:val="18"/>
              </w:rPr>
              <w:t>Quan sát trực tiếp</w:t>
            </w:r>
          </w:p>
        </w:tc>
        <w:tc>
          <w:tcPr>
            <w:tcW w:type="dxa" w:w="4365"/>
            <w:vAlign w:val="top"/>
            <w:shd w:fill="173F35"/>
          </w:tcPr>
          <w:p>
            <w:pPr>
              <w:spacing w:after="100" w:before="80" w:line="250" w:lineRule="auto"/>
            </w:pPr>
            <w:r>
              <w:rPr>
                <w:b/>
                <w:color w:val="FFFFFF"/>
                <w:sz w:val="18"/>
              </w:rPr>
              <w:t>Khuyến nghị cụ thể</w:t>
            </w:r>
          </w:p>
        </w:tc>
      </w:tr>
      <w:tr>
        <w:trPr>
          <w:cantSplit/>
        </w:trPr>
        <w:tc>
          <w:tcPr>
            <w:tcW w:type="dxa" w:w="1417"/>
            <w:vAlign w:val="top"/>
            <w:shd w:fill="F0F5F2"/>
          </w:tcPr>
          <w:p>
            <w:pPr>
              <w:spacing w:after="100" w:before="80" w:line="250" w:lineRule="auto"/>
            </w:pPr>
            <w:r>
              <w:rPr>
                <w:sz w:val="18"/>
              </w:rPr>
              <w:t>UX01 Cao</w:t>
            </w:r>
          </w:p>
        </w:tc>
        <w:tc>
          <w:tcPr>
            <w:tcW w:type="dxa" w:w="3969"/>
            <w:vAlign w:val="top"/>
            <w:shd w:fill="F0F5F2"/>
          </w:tcPr>
          <w:p>
            <w:pPr>
              <w:spacing w:after="100" w:before="80" w:line="250" w:lineRule="auto"/>
            </w:pPr>
            <w:r>
              <w:rPr>
                <w:sz w:val="18"/>
              </w:rPr>
              <w:t>ESG 50/100, mức Trung bình dù bao phủ 0%, 0/18 chỉ tiêu xác minh; có nhãn tạm tính.</w:t>
            </w:r>
          </w:p>
        </w:tc>
        <w:tc>
          <w:tcPr>
            <w:tcW w:type="dxa" w:w="4365"/>
            <w:vAlign w:val="top"/>
            <w:shd w:fill="F0F5F2"/>
          </w:tcPr>
          <w:p>
            <w:pPr>
              <w:spacing w:after="100" w:before="80" w:line="250" w:lineRule="auto"/>
            </w:pPr>
            <w:r>
              <w:rPr>
                <w:sz w:val="18"/>
              </w:rPr>
              <w:t>Thay bằng Chưa đủ dữ liệu; chưa gán mức. Hiển thị dữ liệu cần bổ sung và phạm vi kết quả có thể thay đổi.</w:t>
            </w:r>
          </w:p>
        </w:tc>
      </w:tr>
      <w:tr>
        <w:trPr>
          <w:cantSplit/>
        </w:trPr>
        <w:tc>
          <w:tcPr>
            <w:tcW w:type="dxa" w:w="1417"/>
            <w:vAlign w:val="top"/>
            <w:shd w:fill="FFFFFF"/>
          </w:tcPr>
          <w:p>
            <w:pPr>
              <w:spacing w:after="100" w:before="80" w:line="250" w:lineRule="auto"/>
            </w:pPr>
            <w:r>
              <w:rPr>
                <w:sz w:val="18"/>
              </w:rPr>
              <w:t>UX02 Cao</w:t>
            </w:r>
          </w:p>
        </w:tc>
        <w:tc>
          <w:tcPr>
            <w:tcW w:type="dxa" w:w="3969"/>
            <w:vAlign w:val="top"/>
            <w:shd w:fill="FFFFFF"/>
          </w:tcPr>
          <w:p>
            <w:pPr>
              <w:spacing w:after="100" w:before="80" w:line="250" w:lineRule="auto"/>
            </w:pPr>
            <w:r>
              <w:rPr>
                <w:sz w:val="18"/>
              </w:rPr>
              <w:t>Nhật ký hiển thị BBB 60 khi bao phủ 21%.</w:t>
            </w:r>
          </w:p>
        </w:tc>
        <w:tc>
          <w:tcPr>
            <w:tcW w:type="dxa" w:w="4365"/>
            <w:vAlign w:val="top"/>
            <w:shd w:fill="FFFFFF"/>
          </w:tcPr>
          <w:p>
            <w:pPr>
              <w:spacing w:after="100" w:before="80" w:line="250" w:lineRule="auto"/>
            </w:pPr>
            <w:r>
              <w:rPr>
                <w:sz w:val="18"/>
              </w:rPr>
              <w:t>Không đưa xếp hạng dễ bị hiểu là tín nhiệm đáng tin khi dữ liệu yếu; luôn đi kèm giới hạn và phiên bản phương pháp.</w:t>
            </w:r>
          </w:p>
        </w:tc>
      </w:tr>
      <w:tr>
        <w:trPr>
          <w:cantSplit/>
        </w:trPr>
        <w:tc>
          <w:tcPr>
            <w:tcW w:type="dxa" w:w="1417"/>
            <w:vAlign w:val="top"/>
            <w:shd w:fill="F0F5F2"/>
          </w:tcPr>
          <w:p>
            <w:pPr>
              <w:spacing w:after="100" w:before="80" w:line="250" w:lineRule="auto"/>
            </w:pPr>
            <w:r>
              <w:rPr>
                <w:sz w:val="18"/>
              </w:rPr>
              <w:t>UX03 Cao</w:t>
            </w:r>
          </w:p>
        </w:tc>
        <w:tc>
          <w:tcPr>
            <w:tcW w:type="dxa" w:w="3969"/>
            <w:vAlign w:val="top"/>
            <w:shd w:fill="F0F5F2"/>
          </w:tcPr>
          <w:p>
            <w:pPr>
              <w:spacing w:after="100" w:before="80" w:line="250" w:lineRule="auto"/>
            </w:pPr>
            <w:r>
              <w:rPr>
                <w:sz w:val="18"/>
              </w:rPr>
              <w:t>Landing nói 1-2 ngày, T+1, so sánh 6 tổ chức và ví dụ lãi 5,9%.</w:t>
            </w:r>
          </w:p>
        </w:tc>
        <w:tc>
          <w:tcPr>
            <w:tcW w:type="dxa" w:w="4365"/>
            <w:vAlign w:val="top"/>
            <w:shd w:fill="F0F5F2"/>
          </w:tcPr>
          <w:p>
            <w:pPr>
              <w:spacing w:after="100" w:before="80" w:line="250" w:lineRule="auto"/>
            </w:pPr>
            <w:r>
              <w:rPr>
                <w:sz w:val="18"/>
              </w:rPr>
              <w:t>Gắn nhãn minh họa/chưa phải cam kết. Nêu điều kiện tính thời gian, chi phí khác và không bảo đảm được duyệt.</w:t>
            </w:r>
          </w:p>
        </w:tc>
      </w:tr>
      <w:tr>
        <w:trPr>
          <w:cantSplit/>
        </w:trPr>
        <w:tc>
          <w:tcPr>
            <w:tcW w:type="dxa" w:w="1417"/>
            <w:vAlign w:val="top"/>
            <w:shd w:fill="FFFFFF"/>
          </w:tcPr>
          <w:p>
            <w:pPr>
              <w:spacing w:after="100" w:before="80" w:line="250" w:lineRule="auto"/>
            </w:pPr>
            <w:r>
              <w:rPr>
                <w:sz w:val="18"/>
              </w:rPr>
              <w:t>UX04 Vừa</w:t>
            </w:r>
          </w:p>
        </w:tc>
        <w:tc>
          <w:tcPr>
            <w:tcW w:type="dxa" w:w="3969"/>
            <w:vAlign w:val="top"/>
            <w:shd w:fill="FFFFFF"/>
          </w:tcPr>
          <w:p>
            <w:pPr>
              <w:spacing w:after="100" w:before="80" w:line="250" w:lineRule="auto"/>
            </w:pPr>
            <w:r>
              <w:rPr>
                <w:sz w:val="18"/>
              </w:rPr>
              <w:t>Mục Người dùng và quyền dẫn tới #users chứa hàng đợi xác minh; bảng thành viên nằm ở Cài đặt.</w:t>
            </w:r>
          </w:p>
        </w:tc>
        <w:tc>
          <w:tcPr>
            <w:tcW w:type="dxa" w:w="4365"/>
            <w:vAlign w:val="top"/>
            <w:shd w:fill="FFFFFF"/>
          </w:tcPr>
          <w:p>
            <w:pPr>
              <w:spacing w:after="100" w:before="80" w:line="250" w:lineRule="auto"/>
            </w:pPr>
            <w:r>
              <w:rPr>
                <w:sz w:val="18"/>
              </w:rPr>
              <w:t>Tạo trang quản lý thành viên đúng tên; tìm kiếm, lọc, trạng thái, quyền và lịch sử thay đổi.</w:t>
            </w:r>
          </w:p>
        </w:tc>
      </w:tr>
      <w:tr>
        <w:trPr>
          <w:cantSplit/>
        </w:trPr>
        <w:tc>
          <w:tcPr>
            <w:tcW w:type="dxa" w:w="1417"/>
            <w:vAlign w:val="top"/>
            <w:shd w:fill="F0F5F2"/>
          </w:tcPr>
          <w:p>
            <w:pPr>
              <w:spacing w:after="100" w:before="80" w:line="250" w:lineRule="auto"/>
            </w:pPr>
            <w:r>
              <w:rPr>
                <w:sz w:val="18"/>
              </w:rPr>
              <w:t>UX05 Vừa</w:t>
            </w:r>
          </w:p>
        </w:tc>
        <w:tc>
          <w:tcPr>
            <w:tcW w:type="dxa" w:w="3969"/>
            <w:vAlign w:val="top"/>
            <w:shd w:fill="F0F5F2"/>
          </w:tcPr>
          <w:p>
            <w:pPr>
              <w:spacing w:after="100" w:before="80" w:line="250" w:lineRule="auto"/>
            </w:pPr>
            <w:r>
              <w:rPr>
                <w:sz w:val="18"/>
              </w:rPr>
              <w:t>Trang quản trị gom nhiều bảng dài, nhật ký và doanh thu; các thẻ KPI chiếm nhiều diện tích.</w:t>
            </w:r>
          </w:p>
        </w:tc>
        <w:tc>
          <w:tcPr>
            <w:tcW w:type="dxa" w:w="4365"/>
            <w:vAlign w:val="top"/>
            <w:shd w:fill="F0F5F2"/>
          </w:tcPr>
          <w:p>
            <w:pPr>
              <w:spacing w:after="100" w:before="80" w:line="250" w:lineRule="auto"/>
            </w:pPr>
            <w:r>
              <w:rPr>
                <w:sz w:val="18"/>
              </w:rPr>
              <w:t>Ưu tiên Việc cần xử lý theo SLA; tách nhật ký, doanh thu và tổ chức sang trang có phân trang.</w:t>
            </w:r>
          </w:p>
        </w:tc>
      </w:tr>
      <w:tr>
        <w:trPr>
          <w:cantSplit/>
        </w:trPr>
        <w:tc>
          <w:tcPr>
            <w:tcW w:type="dxa" w:w="1417"/>
            <w:vAlign w:val="top"/>
            <w:shd w:fill="FFFFFF"/>
          </w:tcPr>
          <w:p>
            <w:pPr>
              <w:spacing w:after="100" w:before="80" w:line="250" w:lineRule="auto"/>
            </w:pPr>
            <w:r>
              <w:rPr>
                <w:sz w:val="18"/>
              </w:rPr>
              <w:t>UX06 Vừa</w:t>
            </w:r>
          </w:p>
        </w:tc>
        <w:tc>
          <w:tcPr>
            <w:tcW w:type="dxa" w:w="3969"/>
            <w:vAlign w:val="top"/>
            <w:shd w:fill="FFFFFF"/>
          </w:tcPr>
          <w:p>
            <w:pPr>
              <w:spacing w:after="100" w:before="80" w:line="250" w:lineRule="auto"/>
            </w:pPr>
            <w:r>
              <w:rPr>
                <w:sz w:val="18"/>
              </w:rPr>
              <w:t>Tỷ lệ tranh chấp 0% trong bối cảnh ít dữ liệu; thời gian xử lý có 0 mẫu.</w:t>
            </w:r>
          </w:p>
        </w:tc>
        <w:tc>
          <w:tcPr>
            <w:tcW w:type="dxa" w:w="4365"/>
            <w:vAlign w:val="top"/>
            <w:shd w:fill="FFFFFF"/>
          </w:tcPr>
          <w:p>
            <w:pPr>
              <w:spacing w:after="100" w:before="80" w:line="250" w:lineRule="auto"/>
            </w:pPr>
            <w:r>
              <w:rPr>
                <w:sz w:val="18"/>
              </w:rPr>
              <w:t>Hiển thị tử số/mẫu số và Không đủ dữ liệu; tách mẫu demo với dữ liệu vận hành.</w:t>
            </w:r>
          </w:p>
        </w:tc>
      </w:tr>
      <w:tr>
        <w:trPr>
          <w:cantSplit/>
        </w:trPr>
        <w:tc>
          <w:tcPr>
            <w:tcW w:type="dxa" w:w="1417"/>
            <w:vAlign w:val="top"/>
            <w:shd w:fill="F0F5F2"/>
          </w:tcPr>
          <w:p>
            <w:pPr>
              <w:spacing w:after="100" w:before="80" w:line="250" w:lineRule="auto"/>
            </w:pPr>
            <w:r>
              <w:rPr>
                <w:sz w:val="18"/>
              </w:rPr>
              <w:t>UX07 Vừa</w:t>
            </w:r>
          </w:p>
        </w:tc>
        <w:tc>
          <w:tcPr>
            <w:tcW w:type="dxa" w:w="3969"/>
            <w:vAlign w:val="top"/>
            <w:shd w:fill="F0F5F2"/>
          </w:tcPr>
          <w:p>
            <w:pPr>
              <w:spacing w:after="100" w:before="80" w:line="250" w:lineRule="auto"/>
            </w:pPr>
            <w:r>
              <w:rPr>
                <w:sz w:val="18"/>
              </w:rPr>
              <w:t>Danh mục nguồn trống nhưng hiển thị nhiều biểu mẫu tra cứu.</w:t>
            </w:r>
          </w:p>
        </w:tc>
        <w:tc>
          <w:tcPr>
            <w:tcW w:type="dxa" w:w="4365"/>
            <w:vAlign w:val="top"/>
            <w:shd w:fill="F0F5F2"/>
          </w:tcPr>
          <w:p>
            <w:pPr>
              <w:spacing w:after="100" w:before="80" w:line="250" w:lineRule="auto"/>
            </w:pPr>
            <w:r>
              <w:rPr>
                <w:sz w:val="18"/>
              </w:rPr>
              <w:t>Bổ sung trạng thái Chưa cấu hình nguồn và hướng dẫn bước tiếp theo; tắt bước phụ thuộc cho tới khi đủ điều kiện.</w:t>
            </w:r>
          </w:p>
        </w:tc>
      </w:tr>
    </w:tbl>
    <w:p>
      <w:pPr>
        <w:spacing w:after="0"/>
      </w:pPr>
    </w:p>
    <w:p>
      <w:r>
        <w:rPr>
          <w:b w:val="0"/>
        </w:rPr>
        <w:t>Các đề xuất về so sánh gói và luồng người dùng ở phần sau là yêu cầu thiết kế, chưa phải lỗi được tái hiện ở ba tài khoản nghiệp vụ. Cần thực hiện kiểm thử riêng trước khi kết luận về khả dụng và độ đúng của từng vai trò.</w:t>
      </w:r>
    </w:p>
    <w:p>
      <w:r>
        <w:br w:type="page"/>
      </w:r>
    </w:p>
    <w:p>
      <w:pPr>
        <w:pStyle w:val="Heading1"/>
      </w:pPr>
      <w:r>
        <w:t>9 Thiết kế phân quyền và kiểm soát nội bộ</w:t>
      </w:r>
    </w:p>
    <w:p>
      <w:r>
        <w:rPr>
          <w:b w:val="0"/>
        </w:rPr>
        <w:t>Ảnh tài khoản chỉ chia bốn bên. Ma trận trên website đã bổ sung lập hồ sơ, phê duyệt, thẩm định, quản lý sản phẩm, FCC và kiểm toán. Tuy vậy, bảng vẫn trộn vai trò chủ tổ chức với quyền theo loại tổ chức: dòng trả báo giá/thẩm định/giải ngân ghi Chủ tổ chức có, dễ bị hiểu rằng mọi chủ tổ chức đều được làm [W2]. Cần diễn đạt quyền = loại tổ chức + vai trò + đối tượng + trạng thái + phạm vi được chia sẻ.</w:t>
      </w:r>
    </w:p>
    <w:tbl>
      <w:tblPr>
        <w:tblW w:type="auto" w:w="0"/>
        <w:jc w:val="center"/>
        <w:tblLayout w:type="fixed"/>
        <w:tblLook w:firstColumn="1" w:firstRow="1" w:lastColumn="0" w:lastRow="0" w:noHBand="0" w:noVBand="1" w:val="04A0"/>
      </w:tblPr>
      <w:tblGrid>
        <w:gridCol w:w="2438"/>
        <w:gridCol w:w="3628"/>
        <w:gridCol w:w="3685"/>
      </w:tblGrid>
      <w:tr>
        <w:trPr>
          <w:cantSplit/>
          <w:tblHeader/>
        </w:trPr>
        <w:tc>
          <w:tcPr>
            <w:tcW w:type="dxa" w:w="2438"/>
            <w:vAlign w:val="top"/>
            <w:shd w:fill="173F35"/>
          </w:tcPr>
          <w:p>
            <w:pPr>
              <w:spacing w:after="100" w:before="80" w:line="250" w:lineRule="auto"/>
            </w:pPr>
            <w:r>
              <w:rPr>
                <w:b/>
                <w:color w:val="FFFFFF"/>
                <w:sz w:val="18"/>
              </w:rPr>
              <w:t>Vai trò đề xuất</w:t>
            </w:r>
          </w:p>
        </w:tc>
        <w:tc>
          <w:tcPr>
            <w:tcW w:type="dxa" w:w="3628"/>
            <w:vAlign w:val="top"/>
            <w:shd w:fill="173F35"/>
          </w:tcPr>
          <w:p>
            <w:pPr>
              <w:spacing w:after="100" w:before="80" w:line="250" w:lineRule="auto"/>
            </w:pPr>
            <w:r>
              <w:rPr>
                <w:b/>
                <w:color w:val="FFFFFF"/>
                <w:sz w:val="18"/>
              </w:rPr>
              <w:t>Được làm</w:t>
            </w:r>
          </w:p>
        </w:tc>
        <w:tc>
          <w:tcPr>
            <w:tcW w:type="dxa" w:w="3685"/>
            <w:vAlign w:val="top"/>
            <w:shd w:fill="173F35"/>
          </w:tcPr>
          <w:p>
            <w:pPr>
              <w:spacing w:after="100" w:before="80" w:line="250" w:lineRule="auto"/>
            </w:pPr>
            <w:r>
              <w:rPr>
                <w:b/>
                <w:color w:val="FFFFFF"/>
                <w:sz w:val="18"/>
              </w:rPr>
              <w:t>Giới hạn bắt buộc</w:t>
            </w:r>
          </w:p>
        </w:tc>
      </w:tr>
      <w:tr>
        <w:trPr>
          <w:cantSplit/>
        </w:trPr>
        <w:tc>
          <w:tcPr>
            <w:tcW w:type="dxa" w:w="2438"/>
            <w:vAlign w:val="top"/>
            <w:shd w:fill="F0F5F2"/>
          </w:tcPr>
          <w:p>
            <w:pPr>
              <w:spacing w:after="100" w:before="80" w:line="250" w:lineRule="auto"/>
            </w:pPr>
            <w:r>
              <w:rPr>
                <w:sz w:val="18"/>
              </w:rPr>
              <w:t>Nhà cung cấp lập hồ sơ</w:t>
            </w:r>
          </w:p>
        </w:tc>
        <w:tc>
          <w:tcPr>
            <w:tcW w:type="dxa" w:w="3628"/>
            <w:vAlign w:val="top"/>
            <w:shd w:fill="F0F5F2"/>
          </w:tcPr>
          <w:p>
            <w:pPr>
              <w:spacing w:after="100" w:before="80" w:line="250" w:lineRule="auto"/>
            </w:pPr>
            <w:r>
              <w:rPr>
                <w:sz w:val="18"/>
              </w:rPr>
              <w:t>Tạo nháp, đính kèm, sửa khi chưa khóa.</w:t>
            </w:r>
          </w:p>
        </w:tc>
        <w:tc>
          <w:tcPr>
            <w:tcW w:type="dxa" w:w="3685"/>
            <w:vAlign w:val="top"/>
            <w:shd w:fill="F0F5F2"/>
          </w:tcPr>
          <w:p>
            <w:pPr>
              <w:spacing w:after="100" w:before="80" w:line="250" w:lineRule="auto"/>
            </w:pPr>
            <w:r>
              <w:rPr>
                <w:sz w:val="18"/>
              </w:rPr>
              <w:t>Không tự xác nhận thay bên mua; không tự ký duyệt hồ sơ mình lập.</w:t>
            </w:r>
          </w:p>
        </w:tc>
      </w:tr>
      <w:tr>
        <w:trPr>
          <w:cantSplit/>
        </w:trPr>
        <w:tc>
          <w:tcPr>
            <w:tcW w:type="dxa" w:w="2438"/>
            <w:vAlign w:val="top"/>
            <w:shd w:fill="FFFFFF"/>
          </w:tcPr>
          <w:p>
            <w:pPr>
              <w:spacing w:after="100" w:before="80" w:line="250" w:lineRule="auto"/>
            </w:pPr>
            <w:r>
              <w:rPr>
                <w:sz w:val="18"/>
              </w:rPr>
              <w:t>Nhà cung cấp phê duyệt</w:t>
            </w:r>
          </w:p>
        </w:tc>
        <w:tc>
          <w:tcPr>
            <w:tcW w:type="dxa" w:w="3628"/>
            <w:vAlign w:val="top"/>
            <w:shd w:fill="FFFFFF"/>
          </w:tcPr>
          <w:p>
            <w:pPr>
              <w:spacing w:after="100" w:before="80" w:line="250" w:lineRule="auto"/>
            </w:pPr>
            <w:r>
              <w:rPr>
                <w:sz w:val="18"/>
              </w:rPr>
              <w:t>Chấp thuận gửi, chia sẻ dữ liệu, chọn đề nghị theo ủy quyền.</w:t>
            </w:r>
          </w:p>
        </w:tc>
        <w:tc>
          <w:tcPr>
            <w:tcW w:type="dxa" w:w="3685"/>
            <w:vAlign w:val="top"/>
            <w:shd w:fill="FFFFFF"/>
          </w:tcPr>
          <w:p>
            <w:pPr>
              <w:spacing w:after="100" w:before="80" w:line="250" w:lineRule="auto"/>
            </w:pPr>
            <w:r>
              <w:rPr>
                <w:sz w:val="18"/>
              </w:rPr>
              <w:t>MFA; giới hạn tiền; không thay điều khoản đã được các bên ký.</w:t>
            </w:r>
          </w:p>
        </w:tc>
      </w:tr>
      <w:tr>
        <w:trPr>
          <w:cantSplit/>
        </w:trPr>
        <w:tc>
          <w:tcPr>
            <w:tcW w:type="dxa" w:w="2438"/>
            <w:vAlign w:val="top"/>
            <w:shd w:fill="F0F5F2"/>
          </w:tcPr>
          <w:p>
            <w:pPr>
              <w:spacing w:after="100" w:before="80" w:line="250" w:lineRule="auto"/>
            </w:pPr>
            <w:r>
              <w:rPr>
                <w:sz w:val="18"/>
              </w:rPr>
              <w:t>Bên mua lập và phê duyệt</w:t>
            </w:r>
          </w:p>
        </w:tc>
        <w:tc>
          <w:tcPr>
            <w:tcW w:type="dxa" w:w="3628"/>
            <w:vAlign w:val="top"/>
            <w:shd w:fill="F0F5F2"/>
          </w:tcPr>
          <w:p>
            <w:pPr>
              <w:spacing w:after="100" w:before="80" w:line="250" w:lineRule="auto"/>
            </w:pPr>
            <w:r>
              <w:rPr>
                <w:sz w:val="18"/>
              </w:rPr>
              <w:t>Đối chiếu, đề xuất xác nhận, người có thẩm quyền xác nhận.</w:t>
            </w:r>
          </w:p>
        </w:tc>
        <w:tc>
          <w:tcPr>
            <w:tcW w:type="dxa" w:w="3685"/>
            <w:vAlign w:val="top"/>
            <w:shd w:fill="F0F5F2"/>
          </w:tcPr>
          <w:p>
            <w:pPr>
              <w:spacing w:after="100" w:before="80" w:line="250" w:lineRule="auto"/>
            </w:pPr>
            <w:r>
              <w:rPr>
                <w:sz w:val="18"/>
              </w:rPr>
              <w:t>Tách người lập với người duyệt cho giao dịch vượt ngưỡng.</w:t>
            </w:r>
          </w:p>
        </w:tc>
      </w:tr>
      <w:tr>
        <w:trPr>
          <w:cantSplit/>
        </w:trPr>
        <w:tc>
          <w:tcPr>
            <w:tcW w:type="dxa" w:w="2438"/>
            <w:vAlign w:val="top"/>
            <w:shd w:fill="FFFFFF"/>
          </w:tcPr>
          <w:p>
            <w:pPr>
              <w:spacing w:after="100" w:before="80" w:line="250" w:lineRule="auto"/>
            </w:pPr>
            <w:r>
              <w:rPr>
                <w:sz w:val="18"/>
              </w:rPr>
              <w:t>Bên tài trợ thẩm định</w:t>
            </w:r>
          </w:p>
        </w:tc>
        <w:tc>
          <w:tcPr>
            <w:tcW w:type="dxa" w:w="3628"/>
            <w:vAlign w:val="top"/>
            <w:shd w:fill="FFFFFF"/>
          </w:tcPr>
          <w:p>
            <w:pPr>
              <w:spacing w:after="100" w:before="80" w:line="250" w:lineRule="auto"/>
            </w:pPr>
            <w:r>
              <w:rPr>
                <w:sz w:val="18"/>
              </w:rPr>
              <w:t>Xem bộ hồ sơ đã được chia sẻ, đề xuất báo giá.</w:t>
            </w:r>
          </w:p>
        </w:tc>
        <w:tc>
          <w:tcPr>
            <w:tcW w:type="dxa" w:w="3685"/>
            <w:vAlign w:val="top"/>
            <w:shd w:fill="FFFFFF"/>
          </w:tcPr>
          <w:p>
            <w:pPr>
              <w:spacing w:after="100" w:before="80" w:line="250" w:lineRule="auto"/>
            </w:pPr>
            <w:r>
              <w:rPr>
                <w:sz w:val="18"/>
              </w:rPr>
              <w:t>Không tự phê duyệt và tự giải ngân toàn bộ quy trình.</w:t>
            </w:r>
          </w:p>
        </w:tc>
      </w:tr>
      <w:tr>
        <w:trPr>
          <w:cantSplit/>
        </w:trPr>
        <w:tc>
          <w:tcPr>
            <w:tcW w:type="dxa" w:w="2438"/>
            <w:vAlign w:val="top"/>
            <w:shd w:fill="F0F5F2"/>
          </w:tcPr>
          <w:p>
            <w:pPr>
              <w:spacing w:after="100" w:before="80" w:line="250" w:lineRule="auto"/>
            </w:pPr>
            <w:r>
              <w:rPr>
                <w:sz w:val="18"/>
              </w:rPr>
              <w:t>Bên tài trợ phê duyệt và vận hành</w:t>
            </w:r>
          </w:p>
        </w:tc>
        <w:tc>
          <w:tcPr>
            <w:tcW w:type="dxa" w:w="3628"/>
            <w:vAlign w:val="top"/>
            <w:shd w:fill="F0F5F2"/>
          </w:tcPr>
          <w:p>
            <w:pPr>
              <w:spacing w:after="100" w:before="80" w:line="250" w:lineRule="auto"/>
            </w:pPr>
            <w:r>
              <w:rPr>
                <w:sz w:val="18"/>
              </w:rPr>
              <w:t>Phê duyệt theo thẩm quyền; ghi nhận tiền theo chứng từ ngân hàng.</w:t>
            </w:r>
          </w:p>
        </w:tc>
        <w:tc>
          <w:tcPr>
            <w:tcW w:type="dxa" w:w="3685"/>
            <w:vAlign w:val="top"/>
            <w:shd w:fill="F0F5F2"/>
          </w:tcPr>
          <w:p>
            <w:pPr>
              <w:spacing w:after="100" w:before="80" w:line="250" w:lineRule="auto"/>
            </w:pPr>
            <w:r>
              <w:rPr>
                <w:sz w:val="18"/>
              </w:rPr>
              <w:t>Tách tín dụng, lệnh tiền và đối soát; không sửa số tiền đã giải ngân.</w:t>
            </w:r>
          </w:p>
        </w:tc>
      </w:tr>
      <w:tr>
        <w:trPr>
          <w:cantSplit/>
        </w:trPr>
        <w:tc>
          <w:tcPr>
            <w:tcW w:type="dxa" w:w="2438"/>
            <w:vAlign w:val="top"/>
            <w:shd w:fill="FFFFFF"/>
          </w:tcPr>
          <w:p>
            <w:pPr>
              <w:spacing w:after="100" w:before="80" w:line="250" w:lineRule="auto"/>
            </w:pPr>
            <w:r>
              <w:rPr>
                <w:sz w:val="18"/>
              </w:rPr>
              <w:t>FCC vận hành</w:t>
            </w:r>
          </w:p>
        </w:tc>
        <w:tc>
          <w:tcPr>
            <w:tcW w:type="dxa" w:w="3628"/>
            <w:vAlign w:val="top"/>
            <w:shd w:fill="FFFFFF"/>
          </w:tcPr>
          <w:p>
            <w:pPr>
              <w:spacing w:after="100" w:before="80" w:line="250" w:lineRule="auto"/>
            </w:pPr>
            <w:r>
              <w:rPr>
                <w:sz w:val="18"/>
              </w:rPr>
              <w:t>Xác minh tổ chức, kiểm duyệt nội dung sản phẩm.</w:t>
            </w:r>
          </w:p>
        </w:tc>
        <w:tc>
          <w:tcPr>
            <w:tcW w:type="dxa" w:w="3685"/>
            <w:vAlign w:val="top"/>
            <w:shd w:fill="FFFFFF"/>
          </w:tcPr>
          <w:p>
            <w:pPr>
              <w:spacing w:after="100" w:before="80" w:line="250" w:lineRule="auto"/>
            </w:pPr>
            <w:r>
              <w:rPr>
                <w:sz w:val="18"/>
              </w:rPr>
              <w:t>Không quyết định tín dụng; dữ liệu nhạy cảm theo nhu cầu và hồ sơ được giao.</w:t>
            </w:r>
          </w:p>
        </w:tc>
      </w:tr>
      <w:tr>
        <w:trPr>
          <w:cantSplit/>
        </w:trPr>
        <w:tc>
          <w:tcPr>
            <w:tcW w:type="dxa" w:w="2438"/>
            <w:vAlign w:val="top"/>
            <w:shd w:fill="F0F5F2"/>
          </w:tcPr>
          <w:p>
            <w:pPr>
              <w:spacing w:after="100" w:before="80" w:line="250" w:lineRule="auto"/>
            </w:pPr>
            <w:r>
              <w:rPr>
                <w:sz w:val="18"/>
              </w:rPr>
              <w:t>FCC thẩm định và chủ mô hình</w:t>
            </w:r>
          </w:p>
        </w:tc>
        <w:tc>
          <w:tcPr>
            <w:tcW w:type="dxa" w:w="3628"/>
            <w:vAlign w:val="top"/>
            <w:shd w:fill="F0F5F2"/>
          </w:tcPr>
          <w:p>
            <w:pPr>
              <w:spacing w:after="100" w:before="80" w:line="250" w:lineRule="auto"/>
            </w:pPr>
            <w:r>
              <w:rPr>
                <w:sz w:val="18"/>
              </w:rPr>
              <w:t>Rà bằng chứng, đề xuất điểm; quản lý phương pháp.</w:t>
            </w:r>
          </w:p>
        </w:tc>
        <w:tc>
          <w:tcPr>
            <w:tcW w:type="dxa" w:w="3685"/>
            <w:vAlign w:val="top"/>
            <w:shd w:fill="F0F5F2"/>
          </w:tcPr>
          <w:p>
            <w:pPr>
              <w:spacing w:after="100" w:before="80" w:line="250" w:lineRule="auto"/>
            </w:pPr>
            <w:r>
              <w:rPr>
                <w:sz w:val="18"/>
              </w:rPr>
              <w:t>Tách thay phương pháp với phê duyệt phát hành; lưu lý do và phiên bản.</w:t>
            </w:r>
          </w:p>
        </w:tc>
      </w:tr>
      <w:tr>
        <w:trPr>
          <w:cantSplit/>
        </w:trPr>
        <w:tc>
          <w:tcPr>
            <w:tcW w:type="dxa" w:w="2438"/>
            <w:vAlign w:val="top"/>
            <w:shd w:fill="FFFFFF"/>
          </w:tcPr>
          <w:p>
            <w:pPr>
              <w:spacing w:after="100" w:before="80" w:line="250" w:lineRule="auto"/>
            </w:pPr>
            <w:r>
              <w:rPr>
                <w:sz w:val="18"/>
              </w:rPr>
              <w:t>Kiểm toán và quản trị kỹ thuật</w:t>
            </w:r>
          </w:p>
        </w:tc>
        <w:tc>
          <w:tcPr>
            <w:tcW w:type="dxa" w:w="3628"/>
            <w:vAlign w:val="top"/>
            <w:shd w:fill="FFFFFF"/>
          </w:tcPr>
          <w:p>
            <w:pPr>
              <w:spacing w:after="100" w:before="80" w:line="250" w:lineRule="auto"/>
            </w:pPr>
            <w:r>
              <w:rPr>
                <w:sz w:val="18"/>
              </w:rPr>
              <w:t>Chỉ đọc theo phạm vi; vận hành cấu hình kỹ thuật.</w:t>
            </w:r>
          </w:p>
        </w:tc>
        <w:tc>
          <w:tcPr>
            <w:tcW w:type="dxa" w:w="3685"/>
            <w:vAlign w:val="top"/>
            <w:shd w:fill="FFFFFF"/>
          </w:tcPr>
          <w:p>
            <w:pPr>
              <w:spacing w:after="100" w:before="80" w:line="250" w:lineRule="auto"/>
            </w:pPr>
            <w:r>
              <w:rPr>
                <w:sz w:val="18"/>
              </w:rPr>
              <w:t>Không mặc định xem mọi tệp; truy cập khẩn cấp phải có thời hạn và giám sát.</w:t>
            </w:r>
          </w:p>
        </w:tc>
      </w:tr>
    </w:tbl>
    <w:p>
      <w:pPr>
        <w:spacing w:after="0"/>
      </w:pPr>
    </w:p>
    <w:p>
      <w:pPr>
        <w:pStyle w:val="Heading2"/>
      </w:pPr>
      <w:r>
        <w:t>Điểm cần xử lý ưu tiên</w:t>
      </w:r>
    </w:p>
    <w:p>
      <w:r>
        <w:rPr>
          <w:b w:val="0"/>
        </w:rPr>
        <w:t>Tài khoản quản trị hiển thị MFA chưa bật và vẫn đọc được bảng điều khiển. Chưa thử hành động nhạy cảm nên không kết luận hệ thống bỏ qua MFA. Phải kiểm thử chặn ở máy chủ và xác thực bổ sung cho phát hành điểm, duyệt tổ chức, biểu phí và thay quyền. Chia sẻ mật khẩu demo chỉ phù hợp môi trường dữ liệu giả, không dùng làm cơ chế truy cập vận hành.</w:t>
      </w:r>
    </w:p>
    <w:p>
      <w:r>
        <w:rPr>
          <w:b w:val="0"/>
        </w:rPr>
        <w:t>Chính sách không xem chứng từ nên phân biệt tệp gốc với siêu dữ liệu. Nhật ký đang hiển thị giá trị hóa đơn, số dư và điểm. Đây là mâu thuẫn diễn đạt và vấn đề tối thiểu hóa dữ liệu cần rà soát, chưa phải bằng chứng đã đọc được tệp cấm.</w:t>
      </w:r>
    </w:p>
    <w:p>
      <w:r>
        <w:br w:type="page"/>
      </w:r>
    </w:p>
    <w:p>
      <w:pPr>
        <w:pStyle w:val="Heading1"/>
      </w:pPr>
      <w:r>
        <w:t>10 Nghiệp vụ tài trợ và rủi ro vận hành</w:t>
      </w:r>
    </w:p>
    <w:p>
      <w:pPr>
        <w:pStyle w:val="Heading2"/>
      </w:pPr>
      <w:r>
        <w:t>Mỗi khoản phải thu phải có vòng đời có thể kiểm tra</w:t>
      </w:r>
    </w:p>
    <w:p>
      <w:r>
        <w:rPr>
          <w:b w:val="0"/>
        </w:rPr>
        <w:t>Trạng thái đề xuất: nháp, chờ bên mua, đã xác nhận, đủ điều kiện gửi, chờ báo giá, được chọn, được duyệt, chờ giải ngân, đã giải ngân, thu nợ một phần, quá hạn, tất toán hoặc tranh chấp. Tách trạng thái hóa đơn, hồ sơ tài trợ, hợp đồng và sự kiện tiền; không dùng một nhãn Đã duyệt cho tất cả.</w:t>
      </w:r>
    </w:p>
    <w:tbl>
      <w:tblPr>
        <w:tblW w:type="auto" w:w="0"/>
        <w:jc w:val="center"/>
        <w:tblLayout w:type="fixed"/>
        <w:tblLook w:firstColumn="1" w:firstRow="1" w:lastColumn="0" w:lastRow="0" w:noHBand="0" w:noVBand="1" w:val="04A0"/>
      </w:tblPr>
      <w:tblGrid>
        <w:gridCol w:w="2268"/>
        <w:gridCol w:w="2891"/>
        <w:gridCol w:w="4592"/>
      </w:tblGrid>
      <w:tr>
        <w:trPr>
          <w:cantSplit/>
          <w:tblHeader/>
        </w:trPr>
        <w:tc>
          <w:tcPr>
            <w:tcW w:type="dxa" w:w="2268"/>
            <w:vAlign w:val="top"/>
            <w:shd w:fill="173F35"/>
          </w:tcPr>
          <w:p>
            <w:pPr>
              <w:spacing w:after="100" w:before="80" w:line="250" w:lineRule="auto"/>
            </w:pPr>
            <w:r>
              <w:rPr>
                <w:b/>
                <w:color w:val="FFFFFF"/>
                <w:sz w:val="18"/>
              </w:rPr>
              <w:t>Tình huống</w:t>
            </w:r>
          </w:p>
        </w:tc>
        <w:tc>
          <w:tcPr>
            <w:tcW w:type="dxa" w:w="2891"/>
            <w:vAlign w:val="top"/>
            <w:shd w:fill="173F35"/>
          </w:tcPr>
          <w:p>
            <w:pPr>
              <w:spacing w:after="100" w:before="80" w:line="250" w:lineRule="auto"/>
            </w:pPr>
            <w:r>
              <w:rPr>
                <w:b/>
                <w:color w:val="FFFFFF"/>
                <w:sz w:val="18"/>
              </w:rPr>
              <w:t>Rủi ro</w:t>
            </w:r>
          </w:p>
        </w:tc>
        <w:tc>
          <w:tcPr>
            <w:tcW w:type="dxa" w:w="4592"/>
            <w:vAlign w:val="top"/>
            <w:shd w:fill="173F35"/>
          </w:tcPr>
          <w:p>
            <w:pPr>
              <w:spacing w:after="100" w:before="80" w:line="250" w:lineRule="auto"/>
            </w:pPr>
            <w:r>
              <w:rPr>
                <w:b/>
                <w:color w:val="FFFFFF"/>
                <w:sz w:val="18"/>
              </w:rPr>
              <w:t>Kiểm soát và tiêu chí nghiệm thu</w:t>
            </w:r>
          </w:p>
        </w:tc>
      </w:tr>
      <w:tr>
        <w:trPr>
          <w:cantSplit/>
        </w:trPr>
        <w:tc>
          <w:tcPr>
            <w:tcW w:type="dxa" w:w="2268"/>
            <w:vAlign w:val="top"/>
            <w:shd w:fill="F0F5F2"/>
          </w:tcPr>
          <w:p>
            <w:pPr>
              <w:spacing w:after="100" w:before="80" w:line="250" w:lineRule="auto"/>
            </w:pPr>
            <w:r>
              <w:rPr>
                <w:sz w:val="18"/>
              </w:rPr>
              <w:t>Hai bên tài trợ cùng chấp thuận</w:t>
            </w:r>
          </w:p>
        </w:tc>
        <w:tc>
          <w:tcPr>
            <w:tcW w:type="dxa" w:w="2891"/>
            <w:vAlign w:val="top"/>
            <w:shd w:fill="F0F5F2"/>
          </w:tcPr>
          <w:p>
            <w:pPr>
              <w:spacing w:after="100" w:before="80" w:line="250" w:lineRule="auto"/>
            </w:pPr>
            <w:r>
              <w:rPr>
                <w:sz w:val="18"/>
              </w:rPr>
              <w:t>Tài trợ trùng hoặc vượt phần công nợ còn lại.</w:t>
            </w:r>
          </w:p>
        </w:tc>
        <w:tc>
          <w:tcPr>
            <w:tcW w:type="dxa" w:w="4592"/>
            <w:vAlign w:val="top"/>
            <w:shd w:fill="F0F5F2"/>
          </w:tcPr>
          <w:p>
            <w:pPr>
              <w:spacing w:after="100" w:before="80" w:line="250" w:lineRule="auto"/>
            </w:pPr>
            <w:r>
              <w:rPr>
                <w:sz w:val="18"/>
              </w:rPr>
              <w:t>Khóa phần giá trị đã phân bổ trong giao dịch nguyên tử; xử lý đồng thời; có quy trình kiểm tra ngoài FCC.</w:t>
            </w:r>
          </w:p>
        </w:tc>
      </w:tr>
      <w:tr>
        <w:trPr>
          <w:cantSplit/>
        </w:trPr>
        <w:tc>
          <w:tcPr>
            <w:tcW w:type="dxa" w:w="2268"/>
            <w:vAlign w:val="top"/>
            <w:shd w:fill="FFFFFF"/>
          </w:tcPr>
          <w:p>
            <w:pPr>
              <w:spacing w:after="100" w:before="80" w:line="250" w:lineRule="auto"/>
            </w:pPr>
            <w:r>
              <w:rPr>
                <w:sz w:val="18"/>
              </w:rPr>
              <w:t>Hóa đơn thay thế hoặc trả hàng</w:t>
            </w:r>
          </w:p>
        </w:tc>
        <w:tc>
          <w:tcPr>
            <w:tcW w:type="dxa" w:w="2891"/>
            <w:vAlign w:val="top"/>
            <w:shd w:fill="FFFFFF"/>
          </w:tcPr>
          <w:p>
            <w:pPr>
              <w:spacing w:after="100" w:before="80" w:line="250" w:lineRule="auto"/>
            </w:pPr>
            <w:r>
              <w:rPr>
                <w:sz w:val="18"/>
              </w:rPr>
              <w:t>Tài trợ theo xác nhận đã hết hiệu lực.</w:t>
            </w:r>
          </w:p>
        </w:tc>
        <w:tc>
          <w:tcPr>
            <w:tcW w:type="dxa" w:w="4592"/>
            <w:vAlign w:val="top"/>
            <w:shd w:fill="FFFFFF"/>
          </w:tcPr>
          <w:p>
            <w:pPr>
              <w:spacing w:after="100" w:before="80" w:line="250" w:lineRule="auto"/>
            </w:pPr>
            <w:r>
              <w:rPr>
                <w:sz w:val="18"/>
              </w:rPr>
              <w:t>Đánh dấu phiên bản; xác nhận lại; khóa bước sau hoặc đưa vào hàng đợi ngoại lệ.</w:t>
            </w:r>
          </w:p>
        </w:tc>
      </w:tr>
      <w:tr>
        <w:trPr>
          <w:cantSplit/>
        </w:trPr>
        <w:tc>
          <w:tcPr>
            <w:tcW w:type="dxa" w:w="2268"/>
            <w:vAlign w:val="top"/>
            <w:shd w:fill="F0F5F2"/>
          </w:tcPr>
          <w:p>
            <w:pPr>
              <w:spacing w:after="100" w:before="80" w:line="250" w:lineRule="auto"/>
            </w:pPr>
            <w:r>
              <w:rPr>
                <w:sz w:val="18"/>
              </w:rPr>
              <w:t>Người mua bù trừ và trả một phần</w:t>
            </w:r>
          </w:p>
        </w:tc>
        <w:tc>
          <w:tcPr>
            <w:tcW w:type="dxa" w:w="2891"/>
            <w:vAlign w:val="top"/>
            <w:shd w:fill="F0F5F2"/>
          </w:tcPr>
          <w:p>
            <w:pPr>
              <w:spacing w:after="100" w:before="80" w:line="250" w:lineRule="auto"/>
            </w:pPr>
            <w:r>
              <w:rPr>
                <w:sz w:val="18"/>
              </w:rPr>
              <w:t>Không đủ tiền để hoàn lại phần giữ lại.</w:t>
            </w:r>
          </w:p>
        </w:tc>
        <w:tc>
          <w:tcPr>
            <w:tcW w:type="dxa" w:w="4592"/>
            <w:vAlign w:val="top"/>
            <w:shd w:fill="F0F5F2"/>
          </w:tcPr>
          <w:p>
            <w:pPr>
              <w:spacing w:after="100" w:before="80" w:line="250" w:lineRule="auto"/>
            </w:pPr>
            <w:r>
              <w:rPr>
                <w:sz w:val="18"/>
              </w:rPr>
              <w:t>Sổ theo dõi công nợ còn lại, bù trừ và thứ tự phân bổ theo hợp đồng.</w:t>
            </w:r>
          </w:p>
        </w:tc>
      </w:tr>
      <w:tr>
        <w:trPr>
          <w:cantSplit/>
        </w:trPr>
        <w:tc>
          <w:tcPr>
            <w:tcW w:type="dxa" w:w="2268"/>
            <w:vAlign w:val="top"/>
            <w:shd w:fill="FFFFFF"/>
          </w:tcPr>
          <w:p>
            <w:pPr>
              <w:spacing w:after="100" w:before="80" w:line="250" w:lineRule="auto"/>
            </w:pPr>
            <w:r>
              <w:rPr>
                <w:sz w:val="18"/>
              </w:rPr>
              <w:t>Webhook đến lại hoặc sai thứ tự</w:t>
            </w:r>
          </w:p>
        </w:tc>
        <w:tc>
          <w:tcPr>
            <w:tcW w:type="dxa" w:w="2891"/>
            <w:vAlign w:val="top"/>
            <w:shd w:fill="FFFFFF"/>
          </w:tcPr>
          <w:p>
            <w:pPr>
              <w:spacing w:after="100" w:before="80" w:line="250" w:lineRule="auto"/>
            </w:pPr>
            <w:r>
              <w:rPr>
                <w:sz w:val="18"/>
              </w:rPr>
              <w:t>Ghi giải ngân hai lần hoặc tất toán sai.</w:t>
            </w:r>
          </w:p>
        </w:tc>
        <w:tc>
          <w:tcPr>
            <w:tcW w:type="dxa" w:w="4592"/>
            <w:vAlign w:val="top"/>
            <w:shd w:fill="FFFFFF"/>
          </w:tcPr>
          <w:p>
            <w:pPr>
              <w:spacing w:after="100" w:before="80" w:line="250" w:lineRule="auto"/>
            </w:pPr>
            <w:r>
              <w:rPr>
                <w:sz w:val="18"/>
              </w:rPr>
              <w:t>Mã giao dịch duy nhất, chống xử lý lặp, kiểm tra chữ ký và đối soát.</w:t>
            </w:r>
          </w:p>
        </w:tc>
      </w:tr>
      <w:tr>
        <w:trPr>
          <w:cantSplit/>
        </w:trPr>
        <w:tc>
          <w:tcPr>
            <w:tcW w:type="dxa" w:w="2268"/>
            <w:vAlign w:val="top"/>
            <w:shd w:fill="F0F5F2"/>
          </w:tcPr>
          <w:p>
            <w:pPr>
              <w:spacing w:after="100" w:before="80" w:line="250" w:lineRule="auto"/>
            </w:pPr>
            <w:r>
              <w:rPr>
                <w:sz w:val="18"/>
              </w:rPr>
              <w:t>Bên mua trả nhầm tài khoản</w:t>
            </w:r>
          </w:p>
        </w:tc>
        <w:tc>
          <w:tcPr>
            <w:tcW w:type="dxa" w:w="2891"/>
            <w:vAlign w:val="top"/>
            <w:shd w:fill="F0F5F2"/>
          </w:tcPr>
          <w:p>
            <w:pPr>
              <w:spacing w:after="100" w:before="80" w:line="250" w:lineRule="auto"/>
            </w:pPr>
            <w:r>
              <w:rPr>
                <w:sz w:val="18"/>
              </w:rPr>
              <w:t>FCC hiển thị đã trả nhưng bên tài trợ chưa thu.</w:t>
            </w:r>
          </w:p>
        </w:tc>
        <w:tc>
          <w:tcPr>
            <w:tcW w:type="dxa" w:w="4592"/>
            <w:vAlign w:val="top"/>
            <w:shd w:fill="F0F5F2"/>
          </w:tcPr>
          <w:p>
            <w:pPr>
              <w:spacing w:after="100" w:before="80" w:line="250" w:lineRule="auto"/>
            </w:pPr>
            <w:r>
              <w:rPr>
                <w:sz w:val="18"/>
              </w:rPr>
              <w:t>Chỉ dẫn thanh toán có kiểm chứng, quy trình nhận diện và xử lý tiền sai đối tượng.</w:t>
            </w:r>
          </w:p>
        </w:tc>
      </w:tr>
      <w:tr>
        <w:trPr>
          <w:cantSplit/>
        </w:trPr>
        <w:tc>
          <w:tcPr>
            <w:tcW w:type="dxa" w:w="2268"/>
            <w:vAlign w:val="top"/>
            <w:shd w:fill="FFFFFF"/>
          </w:tcPr>
          <w:p>
            <w:pPr>
              <w:spacing w:after="100" w:before="80" w:line="250" w:lineRule="auto"/>
            </w:pPr>
            <w:r>
              <w:rPr>
                <w:sz w:val="18"/>
              </w:rPr>
              <w:t>Giao dịch vòng hoặc bên liên quan</w:t>
            </w:r>
          </w:p>
        </w:tc>
        <w:tc>
          <w:tcPr>
            <w:tcW w:type="dxa" w:w="2891"/>
            <w:vAlign w:val="top"/>
            <w:shd w:fill="FFFFFF"/>
          </w:tcPr>
          <w:p>
            <w:pPr>
              <w:spacing w:after="100" w:before="80" w:line="250" w:lineRule="auto"/>
            </w:pPr>
            <w:r>
              <w:rPr>
                <w:sz w:val="18"/>
              </w:rPr>
              <w:t>Hóa đơn có mã nhưng không có giao dịch kinh tế thật.</w:t>
            </w:r>
          </w:p>
        </w:tc>
        <w:tc>
          <w:tcPr>
            <w:tcW w:type="dxa" w:w="4592"/>
            <w:vAlign w:val="top"/>
            <w:shd w:fill="FFFFFF"/>
          </w:tcPr>
          <w:p>
            <w:pPr>
              <w:spacing w:after="100" w:before="80" w:line="250" w:lineRule="auto"/>
            </w:pPr>
            <w:r>
              <w:rPr>
                <w:sz w:val="18"/>
              </w:rPr>
              <w:t>Đối chiếu hợp đồng, giao nhận, sở hữu liên quan và kiểm tra con người.</w:t>
            </w:r>
          </w:p>
        </w:tc>
      </w:tr>
      <w:tr>
        <w:trPr>
          <w:cantSplit/>
        </w:trPr>
        <w:tc>
          <w:tcPr>
            <w:tcW w:type="dxa" w:w="2268"/>
            <w:vAlign w:val="top"/>
            <w:shd w:fill="F0F5F2"/>
          </w:tcPr>
          <w:p>
            <w:pPr>
              <w:spacing w:after="100" w:before="80" w:line="250" w:lineRule="auto"/>
            </w:pPr>
            <w:r>
              <w:rPr>
                <w:sz w:val="18"/>
              </w:rPr>
              <w:t>Bên mua mất khả năng thanh toán</w:t>
            </w:r>
          </w:p>
        </w:tc>
        <w:tc>
          <w:tcPr>
            <w:tcW w:type="dxa" w:w="2891"/>
            <w:vAlign w:val="top"/>
            <w:shd w:fill="F0F5F2"/>
          </w:tcPr>
          <w:p>
            <w:pPr>
              <w:spacing w:after="100" w:before="80" w:line="250" w:lineRule="auto"/>
            </w:pPr>
            <w:r>
              <w:rPr>
                <w:sz w:val="18"/>
              </w:rPr>
              <w:t>Nguồn thu hồi chính không còn.</w:t>
            </w:r>
          </w:p>
        </w:tc>
        <w:tc>
          <w:tcPr>
            <w:tcW w:type="dxa" w:w="4592"/>
            <w:vAlign w:val="top"/>
            <w:shd w:fill="F0F5F2"/>
          </w:tcPr>
          <w:p>
            <w:pPr>
              <w:spacing w:after="100" w:before="80" w:line="250" w:lineRule="auto"/>
            </w:pPr>
            <w:r>
              <w:rPr>
                <w:sz w:val="18"/>
              </w:rPr>
              <w:t>Hợp đồng xác định truy đòi, hạn mức tập trung, bên chịu lỗ và phương án xử lý.</w:t>
            </w:r>
          </w:p>
        </w:tc>
      </w:tr>
    </w:tbl>
    <w:p>
      <w:pPr>
        <w:spacing w:after="0"/>
      </w:pPr>
    </w:p>
    <w:p>
      <w:r>
        <w:rPr>
          <w:b w:val="0"/>
        </w:rPr>
        <w:t>Nhật ký demo cho thấy đã có ý tưởng điều chỉnh hóa đơn làm mất hiệu lực xác nhận cũ. Đây là dấu hiệu thiết kế tốt, cần được tái hiện bằng kiểm thử đa vai trò; nhật ký không chứng minh mọi chuyển trạng thái đã được chặn đúng.</w:t>
      </w:r>
    </w:p>
    <w:p>
      <w:r>
        <w:rPr>
          <w:b w:val="0"/>
        </w:rPr>
        <w:t>Chuỗi băm bảo vệ phát hiện thay đổi trong phạm vi thiết kế, không chứng minh nội dung ban đầu là đúng và không tự là blockchain chống tài trợ trùng toàn thị trường. Phải công bố phạm vi chống trùng: trong cùng doanh nghiệp, cùng nền tảng hay có cơ chế liên tổ chức.</w:t>
      </w:r>
    </w:p>
    <w:p>
      <w:r>
        <w:br w:type="page"/>
      </w:r>
    </w:p>
    <w:p>
      <w:pPr>
        <w:pStyle w:val="Heading1"/>
      </w:pPr>
      <w:r>
        <w:t>11 Công nghệ AI và cam kết bảo mật</w:t>
      </w:r>
    </w:p>
    <w:p>
      <w:pPr>
        <w:pStyle w:val="Heading2"/>
      </w:pPr>
      <w:r>
        <w:t>Khoảng cách giữa hồ sơ và bằng chứng sản phẩm</w:t>
      </w:r>
    </w:p>
    <w:p>
      <w:r>
        <w:rPr>
          <w:b w:val="0"/>
        </w:rPr>
        <w:t>Trang 64-65 nêu microservices AWS/GCP, độ sẵn sàng 99,99%, phản hồi dưới 200 ms, OCR trên 98%, CIC, ERP, AI và RPO tiệm cận 0. Website đang đặt tại Vercel không đủ để khẳng định hoặc bác bỏ kiến trúc phía sau. Các tuyên bố này cần sơ đồ triển khai, nhật ký đo, hợp đồng nguồn và biên bản diễn tập; hiện nên phân loại là mục tiêu chưa được nghiệm chứng.</w:t>
      </w:r>
    </w:p>
    <w:tbl>
      <w:tblPr>
        <w:tblW w:type="auto" w:w="0"/>
        <w:jc w:val="center"/>
        <w:tblLayout w:type="fixed"/>
        <w:tblLook w:firstColumn="1" w:firstRow="1" w:lastColumn="0" w:lastRow="0" w:noHBand="0" w:noVBand="1" w:val="04A0"/>
      </w:tblPr>
      <w:tblGrid>
        <w:gridCol w:w="1757"/>
        <w:gridCol w:w="4535"/>
        <w:gridCol w:w="3458"/>
      </w:tblGrid>
      <w:tr>
        <w:trPr>
          <w:cantSplit/>
          <w:tblHeader/>
        </w:trPr>
        <w:tc>
          <w:tcPr>
            <w:tcW w:type="dxa" w:w="1757"/>
            <w:vAlign w:val="top"/>
            <w:shd w:fill="173F35"/>
          </w:tcPr>
          <w:p>
            <w:pPr>
              <w:spacing w:after="100" w:before="80" w:line="250" w:lineRule="auto"/>
            </w:pPr>
            <w:r>
              <w:rPr>
                <w:b/>
                <w:color w:val="FFFFFF"/>
                <w:sz w:val="18"/>
              </w:rPr>
              <w:t>Năng lực</w:t>
            </w:r>
          </w:p>
        </w:tc>
        <w:tc>
          <w:tcPr>
            <w:tcW w:type="dxa" w:w="4535"/>
            <w:vAlign w:val="top"/>
            <w:shd w:fill="173F35"/>
          </w:tcPr>
          <w:p>
            <w:pPr>
              <w:spacing w:after="100" w:before="80" w:line="250" w:lineRule="auto"/>
            </w:pPr>
            <w:r>
              <w:rPr>
                <w:b/>
                <w:color w:val="FFFFFF"/>
                <w:sz w:val="18"/>
              </w:rPr>
              <w:t>Bằng chứng cần bổ sung</w:t>
            </w:r>
          </w:p>
        </w:tc>
        <w:tc>
          <w:tcPr>
            <w:tcW w:type="dxa" w:w="3458"/>
            <w:vAlign w:val="top"/>
            <w:shd w:fill="173F35"/>
          </w:tcPr>
          <w:p>
            <w:pPr>
              <w:spacing w:after="100" w:before="80" w:line="250" w:lineRule="auto"/>
            </w:pPr>
            <w:r>
              <w:rPr>
                <w:b/>
                <w:color w:val="FFFFFF"/>
                <w:sz w:val="18"/>
              </w:rPr>
              <w:t>Khuyến nghị MVP</w:t>
            </w:r>
          </w:p>
        </w:tc>
      </w:tr>
      <w:tr>
        <w:trPr>
          <w:cantSplit/>
        </w:trPr>
        <w:tc>
          <w:tcPr>
            <w:tcW w:type="dxa" w:w="1757"/>
            <w:vAlign w:val="top"/>
            <w:shd w:fill="F0F5F2"/>
          </w:tcPr>
          <w:p>
            <w:pPr>
              <w:spacing w:after="100" w:before="80" w:line="250" w:lineRule="auto"/>
            </w:pPr>
            <w:r>
              <w:rPr>
                <w:sz w:val="18"/>
              </w:rPr>
              <w:t>OCR</w:t>
            </w:r>
          </w:p>
        </w:tc>
        <w:tc>
          <w:tcPr>
            <w:tcW w:type="dxa" w:w="4535"/>
            <w:vAlign w:val="top"/>
            <w:shd w:fill="F0F5F2"/>
          </w:tcPr>
          <w:p>
            <w:pPr>
              <w:spacing w:after="100" w:before="80" w:line="250" w:lineRule="auto"/>
            </w:pPr>
            <w:r>
              <w:rPr>
                <w:sz w:val="18"/>
              </w:rPr>
              <w:t>Bộ mẫu XML/PDF/ảnh, lỗi từng trường số tiền/MST/ngày, thời gian P50/P95.</w:t>
            </w:r>
          </w:p>
        </w:tc>
        <w:tc>
          <w:tcPr>
            <w:tcW w:type="dxa" w:w="3458"/>
            <w:vAlign w:val="top"/>
            <w:shd w:fill="F0F5F2"/>
          </w:tcPr>
          <w:p>
            <w:pPr>
              <w:spacing w:after="100" w:before="80" w:line="250" w:lineRule="auto"/>
            </w:pPr>
            <w:r>
              <w:rPr>
                <w:sz w:val="18"/>
              </w:rPr>
              <w:t>Ưu tiên đọc dữ liệu XML có cấu trúc và kiểm tra chữ ký; OCR có người xác nhận.</w:t>
            </w:r>
          </w:p>
        </w:tc>
      </w:tr>
      <w:tr>
        <w:trPr>
          <w:cantSplit/>
        </w:trPr>
        <w:tc>
          <w:tcPr>
            <w:tcW w:type="dxa" w:w="1757"/>
            <w:vAlign w:val="top"/>
            <w:shd w:fill="FFFFFF"/>
          </w:tcPr>
          <w:p>
            <w:pPr>
              <w:spacing w:after="100" w:before="80" w:line="250" w:lineRule="auto"/>
            </w:pPr>
            <w:r>
              <w:rPr>
                <w:sz w:val="18"/>
              </w:rPr>
              <w:t>Điểm tín dụng</w:t>
            </w:r>
          </w:p>
        </w:tc>
        <w:tc>
          <w:tcPr>
            <w:tcW w:type="dxa" w:w="4535"/>
            <w:vAlign w:val="top"/>
            <w:shd w:fill="FFFFFF"/>
          </w:tcPr>
          <w:p>
            <w:pPr>
              <w:spacing w:after="100" w:before="80" w:line="250" w:lineRule="auto"/>
            </w:pPr>
            <w:r>
              <w:rPr>
                <w:sz w:val="18"/>
              </w:rPr>
              <w:t>Định nghĩa biến, tập dữ liệu, nhãn quá hạn, tách thời gian huấn luyện và kiểm định, sai số và ổn định.</w:t>
            </w:r>
          </w:p>
        </w:tc>
        <w:tc>
          <w:tcPr>
            <w:tcW w:type="dxa" w:w="3458"/>
            <w:vAlign w:val="top"/>
            <w:shd w:fill="FFFFFF"/>
          </w:tcPr>
          <w:p>
            <w:pPr>
              <w:spacing w:after="100" w:before="80" w:line="250" w:lineRule="auto"/>
            </w:pPr>
            <w:r>
              <w:rPr>
                <w:sz w:val="18"/>
              </w:rPr>
              <w:t>Dùng quy tắc minh bạch để kiểm tra hồ sơ; không gọi là mô hình dự báo đã chứng minh.</w:t>
            </w:r>
          </w:p>
        </w:tc>
      </w:tr>
      <w:tr>
        <w:trPr>
          <w:cantSplit/>
        </w:trPr>
        <w:tc>
          <w:tcPr>
            <w:tcW w:type="dxa" w:w="1757"/>
            <w:vAlign w:val="top"/>
            <w:shd w:fill="F0F5F2"/>
          </w:tcPr>
          <w:p>
            <w:pPr>
              <w:spacing w:after="100" w:before="80" w:line="250" w:lineRule="auto"/>
            </w:pPr>
            <w:r>
              <w:rPr>
                <w:sz w:val="18"/>
              </w:rPr>
              <w:t>ESG</w:t>
            </w:r>
          </w:p>
        </w:tc>
        <w:tc>
          <w:tcPr>
            <w:tcW w:type="dxa" w:w="4535"/>
            <w:vAlign w:val="top"/>
            <w:shd w:fill="F0F5F2"/>
          </w:tcPr>
          <w:p>
            <w:pPr>
              <w:spacing w:after="100" w:before="80" w:line="250" w:lineRule="auto"/>
            </w:pPr>
            <w:r>
              <w:rPr>
                <w:sz w:val="18"/>
              </w:rPr>
              <w:t>Lý do trọng số, hướng dẫn chỉ tiêu, bằng chứng, xử lý dữ liệu thiếu và người rà soát.</w:t>
            </w:r>
          </w:p>
        </w:tc>
        <w:tc>
          <w:tcPr>
            <w:tcW w:type="dxa" w:w="3458"/>
            <w:vAlign w:val="top"/>
            <w:shd w:fill="F0F5F2"/>
          </w:tcPr>
          <w:p>
            <w:pPr>
              <w:spacing w:after="100" w:before="80" w:line="250" w:lineRule="auto"/>
            </w:pPr>
            <w:r>
              <w:rPr>
                <w:sz w:val="18"/>
              </w:rPr>
              <w:t>Chưa đủ dữ liệu thì chưa xếp loại; tránh khuyến khích cung cấp nhiều hồ sơ thay vì chất lượng.</w:t>
            </w:r>
          </w:p>
        </w:tc>
      </w:tr>
      <w:tr>
        <w:trPr>
          <w:cantSplit/>
        </w:trPr>
        <w:tc>
          <w:tcPr>
            <w:tcW w:type="dxa" w:w="1757"/>
            <w:vAlign w:val="top"/>
            <w:shd w:fill="FFFFFF"/>
          </w:tcPr>
          <w:p>
            <w:pPr>
              <w:spacing w:after="100" w:before="80" w:line="250" w:lineRule="auto"/>
            </w:pPr>
            <w:r>
              <w:rPr>
                <w:sz w:val="18"/>
              </w:rPr>
              <w:t>Mã hóa và truy cập</w:t>
            </w:r>
          </w:p>
        </w:tc>
        <w:tc>
          <w:tcPr>
            <w:tcW w:type="dxa" w:w="4535"/>
            <w:vAlign w:val="top"/>
            <w:shd w:fill="FFFFFF"/>
          </w:tcPr>
          <w:p>
            <w:pPr>
              <w:spacing w:after="100" w:before="80" w:line="250" w:lineRule="auto"/>
            </w:pPr>
            <w:r>
              <w:rPr>
                <w:sz w:val="18"/>
              </w:rPr>
              <w:t>Quản lý khóa, mã hóa cơ sở dữ liệu và tệp, phân quyền máy chủ, URL có hạn, nhật ký truy cập.</w:t>
            </w:r>
          </w:p>
        </w:tc>
        <w:tc>
          <w:tcPr>
            <w:tcW w:type="dxa" w:w="3458"/>
            <w:vAlign w:val="top"/>
            <w:shd w:fill="FFFFFF"/>
          </w:tcPr>
          <w:p>
            <w:pPr>
              <w:spacing w:after="100" w:before="80" w:line="250" w:lineRule="auto"/>
            </w:pPr>
            <w:r>
              <w:rPr>
                <w:sz w:val="18"/>
              </w:rPr>
              <w:t>Không dùng huy hiệu AES-256 như chứng nhận bảo mật; xác minh từng lớp.</w:t>
            </w:r>
          </w:p>
        </w:tc>
      </w:tr>
      <w:tr>
        <w:trPr>
          <w:cantSplit/>
        </w:trPr>
        <w:tc>
          <w:tcPr>
            <w:tcW w:type="dxa" w:w="1757"/>
            <w:vAlign w:val="top"/>
            <w:shd w:fill="F0F5F2"/>
          </w:tcPr>
          <w:p>
            <w:pPr>
              <w:spacing w:after="100" w:before="80" w:line="250" w:lineRule="auto"/>
            </w:pPr>
            <w:r>
              <w:rPr>
                <w:sz w:val="18"/>
              </w:rPr>
              <w:t>Khôi phục và độ sẵn sàng</w:t>
            </w:r>
          </w:p>
        </w:tc>
        <w:tc>
          <w:tcPr>
            <w:tcW w:type="dxa" w:w="4535"/>
            <w:vAlign w:val="top"/>
            <w:shd w:fill="F0F5F2"/>
          </w:tcPr>
          <w:p>
            <w:pPr>
              <w:spacing w:after="100" w:before="80" w:line="250" w:lineRule="auto"/>
            </w:pPr>
            <w:r>
              <w:rPr>
                <w:sz w:val="18"/>
              </w:rPr>
              <w:t>Kết quả khôi phục sao lưu, đo RPO/RTO, giám sát và lịch sự cố.</w:t>
            </w:r>
          </w:p>
        </w:tc>
        <w:tc>
          <w:tcPr>
            <w:tcW w:type="dxa" w:w="3458"/>
            <w:vAlign w:val="top"/>
            <w:shd w:fill="F0F5F2"/>
          </w:tcPr>
          <w:p>
            <w:pPr>
              <w:spacing w:after="100" w:before="80" w:line="250" w:lineRule="auto"/>
            </w:pPr>
            <w:r>
              <w:rPr>
                <w:sz w:val="18"/>
              </w:rPr>
              <w:t>Đặt mục tiêu theo nhu cầu pilot và khả năng chi trả; không cam kết 99,99% khi chưa đo.</w:t>
            </w:r>
          </w:p>
        </w:tc>
      </w:tr>
      <w:tr>
        <w:trPr>
          <w:cantSplit/>
        </w:trPr>
        <w:tc>
          <w:tcPr>
            <w:tcW w:type="dxa" w:w="1757"/>
            <w:vAlign w:val="top"/>
            <w:shd w:fill="FFFFFF"/>
          </w:tcPr>
          <w:p>
            <w:pPr>
              <w:spacing w:after="100" w:before="80" w:line="250" w:lineRule="auto"/>
            </w:pPr>
            <w:r>
              <w:rPr>
                <w:sz w:val="18"/>
              </w:rPr>
              <w:t>Trợ lý AI</w:t>
            </w:r>
          </w:p>
        </w:tc>
        <w:tc>
          <w:tcPr>
            <w:tcW w:type="dxa" w:w="4535"/>
            <w:vAlign w:val="top"/>
            <w:shd w:fill="FFFFFF"/>
          </w:tcPr>
          <w:p>
            <w:pPr>
              <w:spacing w:after="100" w:before="80" w:line="250" w:lineRule="auto"/>
            </w:pPr>
            <w:r>
              <w:rPr>
                <w:sz w:val="18"/>
              </w:rPr>
              <w:t>Nguồn trả lời, quyền truy cập từng tenant, dữ liệu gửi nhà cung cấp AI và xử lý hướng dẫn độc hại.</w:t>
            </w:r>
          </w:p>
        </w:tc>
        <w:tc>
          <w:tcPr>
            <w:tcW w:type="dxa" w:w="3458"/>
            <w:vAlign w:val="top"/>
            <w:shd w:fill="FFFFFF"/>
          </w:tcPr>
          <w:p>
            <w:pPr>
              <w:spacing w:after="100" w:before="80" w:line="250" w:lineRule="auto"/>
            </w:pPr>
            <w:r>
              <w:rPr>
                <w:sz w:val="18"/>
              </w:rPr>
              <w:t>Không cho AI thực hiện phê duyệt, phát hành điểm hay lệnh tiền tự động.</w:t>
            </w:r>
          </w:p>
        </w:tc>
      </w:tr>
    </w:tbl>
    <w:p>
      <w:pPr>
        <w:spacing w:after="0"/>
      </w:pPr>
    </w:p>
    <w:p>
      <w:pPr>
        <w:pStyle w:val="Heading2"/>
      </w:pPr>
      <w:r>
        <w:t>Kiến trúc phù hợp giai đoạn đầu</w:t>
      </w:r>
    </w:p>
    <w:p>
      <w:r>
        <w:rPr>
          <w:b w:val="0"/>
        </w:rPr>
        <w:t>Đề xuất một ứng dụng có các mô-đun rõ, cơ sở dữ liệu quản lý, kho tệp có kiểm soát, hàng đợi tác vụ và adapter tích hợp. Chỉ tách microservices khi có nhu cầu tải, tổ chức hoặc độ độc lập vận hành thật. Ngân sách 55 triệu đồng khó đồng thời đáp ứng nhiều vùng, ngân hàng, AI riêng và kiểm toán độc lập nếu tính đủ nhân công.</w:t>
      </w:r>
    </w:p>
    <w:p>
      <w:r>
        <w:rPr>
          <w:b w:val="0"/>
        </w:rPr>
        <w:t>ISO/IEC 27001 là hệ thống quản lý cần phạm vi chứng nhận; PCI DSS chỉ nên đặt khi có phạm vi dữ liệu thẻ liên quan. Tránh đưa chứng chỉ chưa có vào slide như năng lực đã đạt.</w:t>
      </w:r>
    </w:p>
    <w:p>
      <w:r>
        <w:br w:type="page"/>
      </w:r>
    </w:p>
    <w:p>
      <w:pPr>
        <w:pStyle w:val="Heading1"/>
      </w:pPr>
      <w:r>
        <w:t>12 Kiểm tra dự báo tài chính</w:t>
      </w:r>
    </w:p>
    <w:p>
      <w:r>
        <w:rPr>
          <w:b w:val="0"/>
        </w:rPr>
        <w:t>Hồ sơ đang có ít nhất ba cách hiểu hòa vốn và hai bộ số liệu lợi nhuận. Cần một mô hình duy nhất có công thức và kiểm soát phiên bản trước khi trình giám khảo [H1, trang 38-39, 62, 68].</w:t>
      </w:r>
    </w:p>
    <w:tbl>
      <w:tblPr>
        <w:tblW w:type="auto" w:w="0"/>
        <w:jc w:val="center"/>
        <w:tblLayout w:type="fixed"/>
        <w:tblLook w:firstColumn="1" w:firstRow="1" w:lastColumn="0" w:lastRow="0" w:noHBand="0" w:noVBand="1" w:val="04A0"/>
      </w:tblPr>
      <w:tblGrid>
        <w:gridCol w:w="1928"/>
        <w:gridCol w:w="3798"/>
        <w:gridCol w:w="4025"/>
      </w:tblGrid>
      <w:tr>
        <w:trPr>
          <w:cantSplit/>
          <w:tblHeader/>
        </w:trPr>
        <w:tc>
          <w:tcPr>
            <w:tcW w:type="dxa" w:w="1928"/>
            <w:vAlign w:val="top"/>
            <w:shd w:fill="173F35"/>
          </w:tcPr>
          <w:p>
            <w:pPr>
              <w:spacing w:after="100" w:before="80" w:line="250" w:lineRule="auto"/>
            </w:pPr>
            <w:r>
              <w:rPr>
                <w:b/>
                <w:color w:val="FFFFFF"/>
                <w:sz w:val="18"/>
              </w:rPr>
              <w:t>Chỉ tiêu</w:t>
            </w:r>
          </w:p>
        </w:tc>
        <w:tc>
          <w:tcPr>
            <w:tcW w:type="dxa" w:w="3798"/>
            <w:vAlign w:val="top"/>
            <w:shd w:fill="173F35"/>
          </w:tcPr>
          <w:p>
            <w:pPr>
              <w:spacing w:after="100" w:before="80" w:line="250" w:lineRule="auto"/>
            </w:pPr>
            <w:r>
              <w:rPr>
                <w:b/>
                <w:color w:val="FFFFFF"/>
                <w:sz w:val="18"/>
              </w:rPr>
              <w:t>Hồ sơ đang nêu</w:t>
            </w:r>
          </w:p>
        </w:tc>
        <w:tc>
          <w:tcPr>
            <w:tcW w:type="dxa" w:w="4025"/>
            <w:vAlign w:val="top"/>
            <w:shd w:fill="173F35"/>
          </w:tcPr>
          <w:p>
            <w:pPr>
              <w:spacing w:after="100" w:before="80" w:line="250" w:lineRule="auto"/>
            </w:pPr>
            <w:r>
              <w:rPr>
                <w:b/>
                <w:color w:val="FFFFFF"/>
                <w:sz w:val="18"/>
              </w:rPr>
              <w:t>Nhận xét kiểm tra</w:t>
            </w:r>
          </w:p>
        </w:tc>
      </w:tr>
      <w:tr>
        <w:trPr>
          <w:cantSplit/>
        </w:trPr>
        <w:tc>
          <w:tcPr>
            <w:tcW w:type="dxa" w:w="1928"/>
            <w:vAlign w:val="top"/>
            <w:shd w:fill="F0F5F2"/>
          </w:tcPr>
          <w:p>
            <w:pPr>
              <w:spacing w:after="100" w:before="80" w:line="250" w:lineRule="auto"/>
            </w:pPr>
            <w:r>
              <w:rPr>
                <w:sz w:val="18"/>
              </w:rPr>
              <w:t>Vốn khởi đầu</w:t>
            </w:r>
          </w:p>
        </w:tc>
        <w:tc>
          <w:tcPr>
            <w:tcW w:type="dxa" w:w="3798"/>
            <w:vAlign w:val="top"/>
            <w:shd w:fill="F0F5F2"/>
          </w:tcPr>
          <w:p>
            <w:pPr>
              <w:spacing w:after="100" w:before="80" w:line="250" w:lineRule="auto"/>
            </w:pPr>
            <w:r>
              <w:rPr>
                <w:sz w:val="18"/>
              </w:rPr>
              <w:t>55 triệu ở trang 38-39.</w:t>
            </w:r>
          </w:p>
        </w:tc>
        <w:tc>
          <w:tcPr>
            <w:tcW w:type="dxa" w:w="4025"/>
            <w:vAlign w:val="top"/>
            <w:shd w:fill="F0F5F2"/>
          </w:tcPr>
          <w:p>
            <w:pPr>
              <w:spacing w:after="100" w:before="80" w:line="250" w:lineRule="auto"/>
            </w:pPr>
            <w:r>
              <w:rPr>
                <w:sz w:val="18"/>
              </w:rPr>
              <w:t>Phân biệt tiền mặt, chi phí đã trả, tài sản và lao động sáng lập chưa trả.</w:t>
            </w:r>
          </w:p>
        </w:tc>
      </w:tr>
      <w:tr>
        <w:trPr>
          <w:cantSplit/>
        </w:trPr>
        <w:tc>
          <w:tcPr>
            <w:tcW w:type="dxa" w:w="1928"/>
            <w:vAlign w:val="top"/>
            <w:shd w:fill="FFFFFF"/>
          </w:tcPr>
          <w:p>
            <w:pPr>
              <w:spacing w:after="100" w:before="80" w:line="250" w:lineRule="auto"/>
            </w:pPr>
            <w:r>
              <w:rPr>
                <w:sz w:val="18"/>
              </w:rPr>
              <w:t>Doanh thu năm đầu</w:t>
            </w:r>
          </w:p>
        </w:tc>
        <w:tc>
          <w:tcPr>
            <w:tcW w:type="dxa" w:w="3798"/>
            <w:vAlign w:val="top"/>
            <w:shd w:fill="FFFFFF"/>
          </w:tcPr>
          <w:p>
            <w:pPr>
              <w:spacing w:after="100" w:before="80" w:line="250" w:lineRule="auto"/>
            </w:pPr>
            <w:r>
              <w:rPr>
                <w:sz w:val="18"/>
              </w:rPr>
              <w:t>285,5 triệu ở trang 39; 279 triệu tại bảng trang 62.</w:t>
            </w:r>
          </w:p>
        </w:tc>
        <w:tc>
          <w:tcPr>
            <w:tcW w:type="dxa" w:w="4025"/>
            <w:vAlign w:val="top"/>
            <w:shd w:fill="FFFFFF"/>
          </w:tcPr>
          <w:p>
            <w:pPr>
              <w:spacing w:after="100" w:before="80" w:line="250" w:lineRule="auto"/>
            </w:pPr>
            <w:r>
              <w:rPr>
                <w:sz w:val="18"/>
              </w:rPr>
              <w:t>Chênh 6,5 triệu; cần xác định bộ giả định được phê duyệt.</w:t>
            </w:r>
          </w:p>
        </w:tc>
      </w:tr>
      <w:tr>
        <w:trPr>
          <w:cantSplit/>
        </w:trPr>
        <w:tc>
          <w:tcPr>
            <w:tcW w:type="dxa" w:w="1928"/>
            <w:vAlign w:val="top"/>
            <w:shd w:fill="F0F5F2"/>
          </w:tcPr>
          <w:p>
            <w:pPr>
              <w:spacing w:after="100" w:before="80" w:line="250" w:lineRule="auto"/>
            </w:pPr>
            <w:r>
              <w:rPr>
                <w:sz w:val="18"/>
              </w:rPr>
              <w:t>Lợi nhuận năm đầu</w:t>
            </w:r>
          </w:p>
        </w:tc>
        <w:tc>
          <w:tcPr>
            <w:tcW w:type="dxa" w:w="3798"/>
            <w:vAlign w:val="top"/>
            <w:shd w:fill="F0F5F2"/>
          </w:tcPr>
          <w:p>
            <w:pPr>
              <w:spacing w:after="100" w:before="80" w:line="250" w:lineRule="auto"/>
            </w:pPr>
            <w:r>
              <w:rPr>
                <w:sz w:val="18"/>
              </w:rPr>
              <w:t>122,5 triệu ở trang 39; 11,3 triệu trong bảng trang 62.</w:t>
            </w:r>
          </w:p>
        </w:tc>
        <w:tc>
          <w:tcPr>
            <w:tcW w:type="dxa" w:w="4025"/>
            <w:vAlign w:val="top"/>
            <w:shd w:fill="F0F5F2"/>
          </w:tcPr>
          <w:p>
            <w:pPr>
              <w:spacing w:after="100" w:before="80" w:line="250" w:lineRule="auto"/>
            </w:pPr>
            <w:r>
              <w:rPr>
                <w:sz w:val="18"/>
              </w:rPr>
              <w:t>Bộ 122,5 = 285,5 - 9 × 12 - 55. Chưa cho thấy giá vốn, thuế và các khoản biến đổi.</w:t>
            </w:r>
          </w:p>
        </w:tc>
      </w:tr>
      <w:tr>
        <w:trPr>
          <w:cantSplit/>
        </w:trPr>
        <w:tc>
          <w:tcPr>
            <w:tcW w:type="dxa" w:w="1928"/>
            <w:vAlign w:val="top"/>
            <w:shd w:fill="FFFFFF"/>
          </w:tcPr>
          <w:p>
            <w:pPr>
              <w:spacing w:after="100" w:before="80" w:line="250" w:lineRule="auto"/>
            </w:pPr>
            <w:r>
              <w:rPr>
                <w:sz w:val="18"/>
              </w:rPr>
              <w:t>Bảng kết quả năm đầu</w:t>
            </w:r>
          </w:p>
        </w:tc>
        <w:tc>
          <w:tcPr>
            <w:tcW w:type="dxa" w:w="3798"/>
            <w:vAlign w:val="top"/>
            <w:shd w:fill="FFFFFF"/>
          </w:tcPr>
          <w:p>
            <w:pPr>
              <w:spacing w:after="100" w:before="80" w:line="250" w:lineRule="auto"/>
            </w:pPr>
            <w:r>
              <w:rPr>
                <w:sz w:val="18"/>
              </w:rPr>
              <w:t>279 triệu doanh thu, 83,7 triệu giá vốn, 184 triệu chi phí; còn 11,3 triệu.</w:t>
            </w:r>
          </w:p>
        </w:tc>
        <w:tc>
          <w:tcPr>
            <w:tcW w:type="dxa" w:w="4025"/>
            <w:vAlign w:val="top"/>
            <w:shd w:fill="FFFFFF"/>
          </w:tcPr>
          <w:p>
            <w:pPr>
              <w:spacing w:after="100" w:before="80" w:line="250" w:lineRule="auto"/>
            </w:pPr>
            <w:r>
              <w:rPr>
                <w:sz w:val="18"/>
              </w:rPr>
              <w:t>Phép trừ khớp. Nhãn lợi nhuận ròng cần xem lại vì chưa rõ thuế và ghi nhận đầu tư ban đầu.</w:t>
            </w:r>
          </w:p>
        </w:tc>
      </w:tr>
      <w:tr>
        <w:trPr>
          <w:cantSplit/>
        </w:trPr>
        <w:tc>
          <w:tcPr>
            <w:tcW w:type="dxa" w:w="1928"/>
            <w:vAlign w:val="top"/>
            <w:shd w:fill="F0F5F2"/>
          </w:tcPr>
          <w:p>
            <w:pPr>
              <w:spacing w:after="100" w:before="80" w:line="250" w:lineRule="auto"/>
            </w:pPr>
            <w:r>
              <w:rPr>
                <w:sz w:val="18"/>
              </w:rPr>
              <w:t>Thời điểm hòa vốn</w:t>
            </w:r>
          </w:p>
        </w:tc>
        <w:tc>
          <w:tcPr>
            <w:tcW w:type="dxa" w:w="3798"/>
            <w:vAlign w:val="top"/>
            <w:shd w:fill="F0F5F2"/>
          </w:tcPr>
          <w:p>
            <w:pPr>
              <w:spacing w:after="100" w:before="80" w:line="250" w:lineRule="auto"/>
            </w:pPr>
            <w:r>
              <w:rPr>
                <w:sz w:val="18"/>
              </w:rPr>
              <w:t>Tháng 8 ở trang 39; 18-24 tháng ở trang 68.</w:t>
            </w:r>
          </w:p>
        </w:tc>
        <w:tc>
          <w:tcPr>
            <w:tcW w:type="dxa" w:w="4025"/>
            <w:vAlign w:val="top"/>
            <w:shd w:fill="F0F5F2"/>
          </w:tcPr>
          <w:p>
            <w:pPr>
              <w:spacing w:after="100" w:before="80" w:line="250" w:lineRule="auto"/>
            </w:pPr>
            <w:r>
              <w:rPr>
                <w:sz w:val="18"/>
              </w:rPr>
              <w:t>Bảng trang 62 có lợi nhuận tháng dương từ tháng 6; lũy kế sau đầu tư chuyển dương khoảng tháng 12.</w:t>
            </w:r>
          </w:p>
        </w:tc>
      </w:tr>
      <w:tr>
        <w:trPr>
          <w:cantSplit/>
        </w:trPr>
        <w:tc>
          <w:tcPr>
            <w:tcW w:type="dxa" w:w="1928"/>
            <w:vAlign w:val="top"/>
            <w:shd w:fill="FFFFFF"/>
          </w:tcPr>
          <w:p>
            <w:pPr>
              <w:spacing w:after="100" w:before="80" w:line="250" w:lineRule="auto"/>
            </w:pPr>
            <w:r>
              <w:rPr>
                <w:sz w:val="18"/>
              </w:rPr>
              <w:t>Dòng tiền năm đầu</w:t>
            </w:r>
          </w:p>
        </w:tc>
        <w:tc>
          <w:tcPr>
            <w:tcW w:type="dxa" w:w="3798"/>
            <w:vAlign w:val="top"/>
            <w:shd w:fill="FFFFFF"/>
          </w:tcPr>
          <w:p>
            <w:pPr>
              <w:spacing w:after="100" w:before="80" w:line="250" w:lineRule="auto"/>
            </w:pPr>
            <w:r>
              <w:rPr>
                <w:sz w:val="18"/>
              </w:rPr>
              <w:t>63,51 triệu cuối năm tại bảng dòng tiền trang 62.</w:t>
            </w:r>
          </w:p>
        </w:tc>
        <w:tc>
          <w:tcPr>
            <w:tcW w:type="dxa" w:w="4025"/>
            <w:vAlign w:val="top"/>
            <w:shd w:fill="FFFFFF"/>
          </w:tcPr>
          <w:p>
            <w:pPr>
              <w:spacing w:after="100" w:before="80" w:line="250" w:lineRule="auto"/>
            </w:pPr>
            <w:r>
              <w:rPr>
                <w:sz w:val="18"/>
              </w:rPr>
              <w:t>Có 55 triệu vốn ban đầu; không được coi 63,51 triệu là lợi nhuận kinh doanh.</w:t>
            </w:r>
          </w:p>
        </w:tc>
      </w:tr>
      <w:tr>
        <w:trPr>
          <w:cantSplit/>
        </w:trPr>
        <w:tc>
          <w:tcPr>
            <w:tcW w:type="dxa" w:w="1928"/>
            <w:vAlign w:val="top"/>
            <w:shd w:fill="F0F5F2"/>
          </w:tcPr>
          <w:p>
            <w:pPr>
              <w:spacing w:after="100" w:before="80" w:line="250" w:lineRule="auto"/>
            </w:pPr>
            <w:r>
              <w:rPr>
                <w:sz w:val="18"/>
              </w:rPr>
              <w:t>Thiếu tiền giữa kỳ</w:t>
            </w:r>
          </w:p>
        </w:tc>
        <w:tc>
          <w:tcPr>
            <w:tcW w:type="dxa" w:w="3798"/>
            <w:vAlign w:val="top"/>
            <w:shd w:fill="F0F5F2"/>
          </w:tcPr>
          <w:p>
            <w:pPr>
              <w:spacing w:after="100" w:before="80" w:line="250" w:lineRule="auto"/>
            </w:pPr>
            <w:r>
              <w:rPr>
                <w:sz w:val="18"/>
              </w:rPr>
              <w:t>Số dư cuối kỳ âm đến tháng 8, thấp nhất khoảng âm 20,52 triệu tháng 5.</w:t>
            </w:r>
          </w:p>
        </w:tc>
        <w:tc>
          <w:tcPr>
            <w:tcW w:type="dxa" w:w="4025"/>
            <w:vAlign w:val="top"/>
            <w:shd w:fill="F0F5F2"/>
          </w:tcPr>
          <w:p>
            <w:pPr>
              <w:spacing w:after="100" w:before="80" w:line="250" w:lineRule="auto"/>
            </w:pPr>
            <w:r>
              <w:rPr>
                <w:sz w:val="18"/>
              </w:rPr>
              <w:t>Theo chính lịch tiền của bảng, cần bù ít nhất phần thiếu này hoặc đổi tiến độ thu/chi, chưa tính dự phòng.</w:t>
            </w:r>
          </w:p>
        </w:tc>
      </w:tr>
    </w:tbl>
    <w:p>
      <w:pPr>
        <w:spacing w:after="0"/>
      </w:pPr>
    </w:p>
    <w:p>
      <w:pPr>
        <w:pStyle w:val="Heading2"/>
      </w:pPr>
      <w:r>
        <w:t>Tính lại điểm hòa vốn vận hành</w:t>
      </w:r>
    </w:p>
    <w:p>
      <w:r>
        <w:rPr>
          <w:b w:val="0"/>
        </w:rPr>
        <w:t>Với ARPU 1,5 triệu đồng/SME/tháng và chi phí cố định 9 triệu, con số 6 SME chỉ đúng khi bỏ qua biến phí. Nếu biên đóng góp là 70% như giá vốn 30% trong bảng, cần làm tròn lên 9 / (1,5 × 70%) = 9 SME trả phí. Nếu chi phí cố định thật 60 triệu thì cần 58 SME. Đây là tính nhạy cảm minh họa, không phải ước tính thị trường.</w:t>
      </w:r>
    </w:p>
    <w:p>
      <w:r>
        <w:rPr>
          <w:b w:val="0"/>
        </w:rPr>
        <w:t>Phải tách chi phí xử lý hồ sơ, OCR/AI, chữ ký, pháp lý, tích hợp, hỗ trợ và hoa hồng. Nếu FCC không chịu rủi ro tín dụng thì không mô tả khoản trích 1,5% doanh thu phí như lớp bảo đảm chống vỡ nợ cho bên tài trợ. Nếu thực sự bảo lãnh hoặc bù lỗ, phải đánh giá lại vốn, hợp đồng và pháp lý.</w:t>
      </w:r>
    </w:p>
    <w:p>
      <w:r>
        <w:br w:type="page"/>
      </w:r>
    </w:p>
    <w:p>
      <w:pPr>
        <w:pStyle w:val="Heading1"/>
      </w:pPr>
      <w:r>
        <w:t>13 Kinh tế giao dịch và kế hoạch vốn</w:t>
      </w:r>
    </w:p>
    <w:p>
      <w:pPr>
        <w:pStyle w:val="Heading2"/>
      </w:pPr>
      <w:r>
        <w:t>Ví dụ chi phí cần làm rõ trên sản phẩm</w:t>
      </w:r>
    </w:p>
    <w:p>
      <w:r>
        <w:rPr>
          <w:b w:val="0"/>
        </w:rPr>
        <w:t>Landing minh họa hóa đơn 2 tỷ đồng, ứng 80% tương đương 1,6 tỷ, 90 ngày, lãi 5,9%/năm và phần dư 376,7 triệu. Tính theo cơ sở 365 ngày, lãi = 1,6 tỷ × 5,9% × 90/365 = khoảng 23,277 triệu; phần còn lại 400 - 23,277 = 376,723 triệu. Ví dụ số học hợp lý nếu lãi thu cuối kỳ và không có phí khác. Cần công bố các giả định này.</w:t>
      </w:r>
    </w:p>
    <w:p>
      <w:r>
        <w:rPr>
          <w:b w:val="0"/>
        </w:rPr>
        <w:t>Người dùng phải thấy tiền thực nhận, tổng lãi và phí, phí FCC, phí bên tài trợ, cơ sở ngày, thuế theo loại phí, phần giữ lại, ngày hoàn lại dự kiến và chi phí quá hạn. Cùng lãi suất năm nhưng khác thời điểm thu lãi hoặc tỷ lệ ứng sẽ cho dòng tiền khác nhau. Không chỉ sắp xếp theo lãi danh nghĩa.</w:t>
      </w:r>
    </w:p>
    <w:tbl>
      <w:tblPr>
        <w:tblW w:type="auto" w:w="0"/>
        <w:jc w:val="center"/>
        <w:tblLayout w:type="fixed"/>
        <w:tblLook w:firstColumn="1" w:firstRow="1" w:lastColumn="0" w:lastRow="0" w:noHBand="0" w:noVBand="1" w:val="04A0"/>
      </w:tblPr>
      <w:tblGrid>
        <w:gridCol w:w="2041"/>
        <w:gridCol w:w="4252"/>
        <w:gridCol w:w="3458"/>
      </w:tblGrid>
      <w:tr>
        <w:trPr>
          <w:cantSplit/>
          <w:tblHeader/>
        </w:trPr>
        <w:tc>
          <w:tcPr>
            <w:tcW w:type="dxa" w:w="2041"/>
            <w:vAlign w:val="top"/>
            <w:shd w:fill="173F35"/>
          </w:tcPr>
          <w:p>
            <w:pPr>
              <w:spacing w:after="100" w:before="80" w:line="250" w:lineRule="auto"/>
            </w:pPr>
            <w:r>
              <w:rPr>
                <w:b/>
                <w:color w:val="FFFFFF"/>
                <w:sz w:val="18"/>
              </w:rPr>
              <w:t>Kịch bản minh họa</w:t>
            </w:r>
          </w:p>
        </w:tc>
        <w:tc>
          <w:tcPr>
            <w:tcW w:type="dxa" w:w="4252"/>
            <w:vAlign w:val="top"/>
            <w:shd w:fill="173F35"/>
          </w:tcPr>
          <w:p>
            <w:pPr>
              <w:spacing w:after="100" w:before="80" w:line="250" w:lineRule="auto"/>
            </w:pPr>
            <w:r>
              <w:rPr>
                <w:b/>
                <w:color w:val="FFFFFF"/>
                <w:sz w:val="18"/>
              </w:rPr>
              <w:t>Giả định đầu vào</w:t>
            </w:r>
          </w:p>
        </w:tc>
        <w:tc>
          <w:tcPr>
            <w:tcW w:type="dxa" w:w="3458"/>
            <w:vAlign w:val="top"/>
            <w:shd w:fill="173F35"/>
          </w:tcPr>
          <w:p>
            <w:pPr>
              <w:spacing w:after="100" w:before="80" w:line="250" w:lineRule="auto"/>
            </w:pPr>
            <w:r>
              <w:rPr>
                <w:b/>
                <w:color w:val="FFFFFF"/>
                <w:sz w:val="18"/>
              </w:rPr>
              <w:t>Hệ quả cần kiểm tra</w:t>
            </w:r>
          </w:p>
        </w:tc>
      </w:tr>
      <w:tr>
        <w:trPr>
          <w:cantSplit/>
        </w:trPr>
        <w:tc>
          <w:tcPr>
            <w:tcW w:type="dxa" w:w="2041"/>
            <w:vAlign w:val="top"/>
            <w:shd w:fill="F0F5F2"/>
          </w:tcPr>
          <w:p>
            <w:pPr>
              <w:spacing w:after="100" w:before="80" w:line="250" w:lineRule="auto"/>
            </w:pPr>
            <w:r>
              <w:rPr>
                <w:sz w:val="18"/>
              </w:rPr>
              <w:t>Thận trọng</w:t>
            </w:r>
          </w:p>
        </w:tc>
        <w:tc>
          <w:tcPr>
            <w:tcW w:type="dxa" w:w="4252"/>
            <w:vAlign w:val="top"/>
            <w:shd w:fill="F0F5F2"/>
          </w:tcPr>
          <w:p>
            <w:pPr>
              <w:spacing w:after="100" w:before="80" w:line="250" w:lineRule="auto"/>
            </w:pPr>
            <w:r>
              <w:rPr>
                <w:sz w:val="18"/>
              </w:rPr>
              <w:t>Chu kỳ chốt anchor 6 tháng; 5 SME trả phí; ARPU 1 triệu; biên đóng góp 60%.</w:t>
            </w:r>
          </w:p>
        </w:tc>
        <w:tc>
          <w:tcPr>
            <w:tcW w:type="dxa" w:w="3458"/>
            <w:vAlign w:val="top"/>
            <w:shd w:fill="F0F5F2"/>
          </w:tcPr>
          <w:p>
            <w:pPr>
              <w:spacing w:after="100" w:before="80" w:line="250" w:lineRule="auto"/>
            </w:pPr>
            <w:r>
              <w:rPr>
                <w:sz w:val="18"/>
              </w:rPr>
              <w:t>Đóng góp 3 triệu/tháng; cần vốn duy trì và thu hẹp phạm vi.</w:t>
            </w:r>
          </w:p>
        </w:tc>
      </w:tr>
      <w:tr>
        <w:trPr>
          <w:cantSplit/>
        </w:trPr>
        <w:tc>
          <w:tcPr>
            <w:tcW w:type="dxa" w:w="2041"/>
            <w:vAlign w:val="top"/>
            <w:shd w:fill="FFFFFF"/>
          </w:tcPr>
          <w:p>
            <w:pPr>
              <w:spacing w:after="100" w:before="80" w:line="250" w:lineRule="auto"/>
            </w:pPr>
            <w:r>
              <w:rPr>
                <w:sz w:val="18"/>
              </w:rPr>
              <w:t>Cơ sở</w:t>
            </w:r>
          </w:p>
        </w:tc>
        <w:tc>
          <w:tcPr>
            <w:tcW w:type="dxa" w:w="4252"/>
            <w:vAlign w:val="top"/>
            <w:shd w:fill="FFFFFF"/>
          </w:tcPr>
          <w:p>
            <w:pPr>
              <w:spacing w:after="100" w:before="80" w:line="250" w:lineRule="auto"/>
            </w:pPr>
            <w:r>
              <w:rPr>
                <w:sz w:val="18"/>
              </w:rPr>
              <w:t>15 SME trả phí; ARPU 1,5 triệu; biên đóng góp 70%.</w:t>
            </w:r>
          </w:p>
        </w:tc>
        <w:tc>
          <w:tcPr>
            <w:tcW w:type="dxa" w:w="3458"/>
            <w:vAlign w:val="top"/>
            <w:shd w:fill="FFFFFF"/>
          </w:tcPr>
          <w:p>
            <w:pPr>
              <w:spacing w:after="100" w:before="80" w:line="250" w:lineRule="auto"/>
            </w:pPr>
            <w:r>
              <w:rPr>
                <w:sz w:val="18"/>
              </w:rPr>
              <w:t>Đóng góp 15,75 triệu/tháng; chỉ hòa vốn nếu chi phí cố định không vượt số này.</w:t>
            </w:r>
          </w:p>
        </w:tc>
      </w:tr>
      <w:tr>
        <w:trPr>
          <w:cantSplit/>
        </w:trPr>
        <w:tc>
          <w:tcPr>
            <w:tcW w:type="dxa" w:w="2041"/>
            <w:vAlign w:val="top"/>
            <w:shd w:fill="F0F5F2"/>
          </w:tcPr>
          <w:p>
            <w:pPr>
              <w:spacing w:after="100" w:before="80" w:line="250" w:lineRule="auto"/>
            </w:pPr>
            <w:r>
              <w:rPr>
                <w:sz w:val="18"/>
              </w:rPr>
              <w:t>Mở rộng có điều kiện</w:t>
            </w:r>
          </w:p>
        </w:tc>
        <w:tc>
          <w:tcPr>
            <w:tcW w:type="dxa" w:w="4252"/>
            <w:vAlign w:val="top"/>
            <w:shd w:fill="F0F5F2"/>
          </w:tcPr>
          <w:p>
            <w:pPr>
              <w:spacing w:after="100" w:before="80" w:line="250" w:lineRule="auto"/>
            </w:pPr>
            <w:r>
              <w:rPr>
                <w:sz w:val="18"/>
              </w:rPr>
              <w:t>50 SME trả phí; ARPU 1,5 triệu; biên đóng góp 70%.</w:t>
            </w:r>
          </w:p>
        </w:tc>
        <w:tc>
          <w:tcPr>
            <w:tcW w:type="dxa" w:w="3458"/>
            <w:vAlign w:val="top"/>
            <w:shd w:fill="F0F5F2"/>
          </w:tcPr>
          <w:p>
            <w:pPr>
              <w:spacing w:after="100" w:before="80" w:line="250" w:lineRule="auto"/>
            </w:pPr>
            <w:r>
              <w:rPr>
                <w:sz w:val="18"/>
              </w:rPr>
              <w:t>Đóng góp 52,5 triệu/tháng; phải trừ chi phí tích hợp và nhân sự tăng thêm.</w:t>
            </w:r>
          </w:p>
        </w:tc>
      </w:tr>
    </w:tbl>
    <w:p>
      <w:pPr>
        <w:spacing w:after="0"/>
      </w:pPr>
    </w:p>
    <w:p>
      <w:r>
        <w:rPr>
          <w:b w:val="0"/>
        </w:rPr>
        <w:t>Các kịch bản trên phục vụ kiểm tra logic, không phải dự báo doanh thu của FCC. Ngân sách thực tế cần báo giá và phân công nguồn lực; không thể suy ra từ số lượng tính năng demo.</w:t>
      </w:r>
    </w:p>
    <w:p>
      <w:pPr>
        <w:pStyle w:val="Heading2"/>
      </w:pPr>
      <w:r>
        <w:t>Tách ba loại nguồn vốn</w:t>
      </w:r>
    </w:p>
    <w:p>
      <w:r>
        <w:rPr>
          <w:b w:val="0"/>
        </w:rPr>
        <w:t>Vốn vận hành FCC trả cho nhân sự, cloud, pháp lý, tích hợp và bán hàng. Vốn tài trợ SME do bên tài trợ chịu trách nhiệm; không ghi là doanh thu hay vốn tự do của FCC. Dự phòng nghĩa vụ bồi thường công nghệ hoặc bảo hiểm là khoản khác với dự phòng tổn thất tín dụng.</w:t>
      </w:r>
    </w:p>
    <w:p>
      <w:r>
        <w:rPr>
          <w:b w:val="0"/>
        </w:rPr>
        <w:t>Mô hình tiền nên có 18-24 tháng theo tháng, cơ chế thu tiền, công nợ phí, lịch trả lương, VAT/thuế phù hợp, CAPEX/OPEX và số dư tối thiểu. Chỉ tuyên bố thời gian hoàn vốn sau khi đã loại tiền góp vốn khỏi dòng tiền hoạt động và xác định thu nhập lao động sáng lập.</w:t>
      </w:r>
    </w:p>
    <w:p>
      <w:r>
        <w:br w:type="page"/>
      </w:r>
    </w:p>
    <w:p>
      <w:pPr>
        <w:pStyle w:val="Heading1"/>
      </w:pPr>
      <w:r>
        <w:t>14 Danh sách sửa trước vòng thi</w:t>
      </w:r>
    </w:p>
    <w:p>
      <w:r>
        <w:rPr>
          <w:b w:val="0"/>
        </w:rPr>
        <w:t>P0 là việc phải hoàn tất trước khi đưa ra cam kết hoặc thử nghiệm có dữ liệu/giao dịch thật. P1 là việc cần cho demo thuyết phục và pilot. Thời gian dưới đây là gợi ý cho nhóm, không phải cam kết triển khai.</w:t>
      </w:r>
    </w:p>
    <w:tbl>
      <w:tblPr>
        <w:tblW w:type="auto" w:w="0"/>
        <w:jc w:val="center"/>
        <w:tblLayout w:type="fixed"/>
        <w:tblLook w:firstColumn="1" w:firstRow="1" w:lastColumn="0" w:lastRow="0" w:noHBand="0" w:noVBand="1" w:val="04A0"/>
      </w:tblPr>
      <w:tblGrid>
        <w:gridCol w:w="624"/>
        <w:gridCol w:w="4082"/>
        <w:gridCol w:w="2154"/>
        <w:gridCol w:w="2891"/>
      </w:tblGrid>
      <w:tr>
        <w:trPr>
          <w:cantSplit/>
          <w:tblHeader/>
        </w:trPr>
        <w:tc>
          <w:tcPr>
            <w:tcW w:type="dxa" w:w="624"/>
            <w:vAlign w:val="top"/>
            <w:shd w:fill="173F35"/>
          </w:tcPr>
          <w:p>
            <w:pPr>
              <w:spacing w:after="100" w:before="80" w:line="250" w:lineRule="auto"/>
            </w:pPr>
            <w:r>
              <w:rPr>
                <w:b/>
                <w:color w:val="FFFFFF"/>
                <w:sz w:val="18"/>
              </w:rPr>
              <w:t>Mã</w:t>
            </w:r>
          </w:p>
        </w:tc>
        <w:tc>
          <w:tcPr>
            <w:tcW w:type="dxa" w:w="4082"/>
            <w:vAlign w:val="top"/>
            <w:shd w:fill="173F35"/>
          </w:tcPr>
          <w:p>
            <w:pPr>
              <w:spacing w:after="100" w:before="80" w:line="250" w:lineRule="auto"/>
            </w:pPr>
            <w:r>
              <w:rPr>
                <w:b/>
                <w:color w:val="FFFFFF"/>
                <w:sz w:val="18"/>
              </w:rPr>
              <w:t>Ưu tiên và việc làm</w:t>
            </w:r>
          </w:p>
        </w:tc>
        <w:tc>
          <w:tcPr>
            <w:tcW w:type="dxa" w:w="2154"/>
            <w:vAlign w:val="top"/>
            <w:shd w:fill="173F35"/>
          </w:tcPr>
          <w:p>
            <w:pPr>
              <w:spacing w:after="100" w:before="80" w:line="250" w:lineRule="auto"/>
            </w:pPr>
            <w:r>
              <w:rPr>
                <w:b/>
                <w:color w:val="FFFFFF"/>
                <w:sz w:val="18"/>
              </w:rPr>
              <w:t>Người phụ trách đề xuất</w:t>
            </w:r>
          </w:p>
        </w:tc>
        <w:tc>
          <w:tcPr>
            <w:tcW w:type="dxa" w:w="2891"/>
            <w:vAlign w:val="top"/>
            <w:shd w:fill="173F35"/>
          </w:tcPr>
          <w:p>
            <w:pPr>
              <w:spacing w:after="100" w:before="80" w:line="250" w:lineRule="auto"/>
            </w:pPr>
            <w:r>
              <w:rPr>
                <w:b/>
                <w:color w:val="FFFFFF"/>
                <w:sz w:val="18"/>
              </w:rPr>
              <w:t>Bằng chứng hoàn thành</w:t>
            </w:r>
          </w:p>
        </w:tc>
      </w:tr>
      <w:tr>
        <w:trPr>
          <w:cantSplit/>
        </w:trPr>
        <w:tc>
          <w:tcPr>
            <w:tcW w:type="dxa" w:w="624"/>
            <w:vAlign w:val="top"/>
            <w:shd w:fill="F0F5F2"/>
          </w:tcPr>
          <w:p>
            <w:pPr>
              <w:spacing w:after="100" w:before="80" w:line="250" w:lineRule="auto"/>
            </w:pPr>
            <w:r>
              <w:rPr>
                <w:sz w:val="18"/>
              </w:rPr>
              <w:t>F01</w:t>
            </w:r>
          </w:p>
        </w:tc>
        <w:tc>
          <w:tcPr>
            <w:tcW w:type="dxa" w:w="4082"/>
            <w:vAlign w:val="top"/>
            <w:shd w:fill="F0F5F2"/>
          </w:tcPr>
          <w:p>
            <w:pPr>
              <w:spacing w:after="100" w:before="80" w:line="250" w:lineRule="auto"/>
            </w:pPr>
            <w:r>
              <w:rPr>
                <w:sz w:val="18"/>
              </w:rPr>
              <w:t>P0 Thống nhất FCC không có quyền quyết định giải ngân.</w:t>
            </w:r>
          </w:p>
        </w:tc>
        <w:tc>
          <w:tcPr>
            <w:tcW w:type="dxa" w:w="2154"/>
            <w:vAlign w:val="top"/>
            <w:shd w:fill="F0F5F2"/>
          </w:tcPr>
          <w:p>
            <w:pPr>
              <w:spacing w:after="100" w:before="80" w:line="250" w:lineRule="auto"/>
            </w:pPr>
            <w:r>
              <w:rPr>
                <w:sz w:val="18"/>
              </w:rPr>
              <w:t>Trưởng nhóm + pháp lý</w:t>
            </w:r>
          </w:p>
        </w:tc>
        <w:tc>
          <w:tcPr>
            <w:tcW w:type="dxa" w:w="2891"/>
            <w:vAlign w:val="top"/>
            <w:shd w:fill="F0F5F2"/>
          </w:tcPr>
          <w:p>
            <w:pPr>
              <w:spacing w:after="100" w:before="80" w:line="250" w:lineRule="auto"/>
            </w:pPr>
            <w:r>
              <w:rPr>
                <w:sz w:val="18"/>
              </w:rPr>
              <w:t>Trang 40, 63, 65 và slide thống nhất sơ đồ trách nhiệm.</w:t>
            </w:r>
          </w:p>
        </w:tc>
      </w:tr>
      <w:tr>
        <w:trPr>
          <w:cantSplit/>
        </w:trPr>
        <w:tc>
          <w:tcPr>
            <w:tcW w:type="dxa" w:w="624"/>
            <w:vAlign w:val="top"/>
            <w:shd w:fill="FFFFFF"/>
          </w:tcPr>
          <w:p>
            <w:pPr>
              <w:spacing w:after="100" w:before="80" w:line="250" w:lineRule="auto"/>
            </w:pPr>
            <w:r>
              <w:rPr>
                <w:sz w:val="18"/>
              </w:rPr>
              <w:t>F02</w:t>
            </w:r>
          </w:p>
        </w:tc>
        <w:tc>
          <w:tcPr>
            <w:tcW w:type="dxa" w:w="4082"/>
            <w:vAlign w:val="top"/>
            <w:shd w:fill="FFFFFF"/>
          </w:tcPr>
          <w:p>
            <w:pPr>
              <w:spacing w:after="100" w:before="80" w:line="250" w:lineRule="auto"/>
            </w:pPr>
            <w:r>
              <w:rPr>
                <w:sz w:val="18"/>
              </w:rPr>
              <w:t>P0 Phân loại hoạt động tín dụng, dữ liệu, chấm điểm, thanh toán.</w:t>
            </w:r>
          </w:p>
        </w:tc>
        <w:tc>
          <w:tcPr>
            <w:tcW w:type="dxa" w:w="2154"/>
            <w:vAlign w:val="top"/>
            <w:shd w:fill="FFFFFF"/>
          </w:tcPr>
          <w:p>
            <w:pPr>
              <w:spacing w:after="100" w:before="80" w:line="250" w:lineRule="auto"/>
            </w:pPr>
            <w:r>
              <w:rPr>
                <w:sz w:val="18"/>
              </w:rPr>
              <w:t>Pháp lý + đối tác</w:t>
            </w:r>
          </w:p>
        </w:tc>
        <w:tc>
          <w:tcPr>
            <w:tcW w:type="dxa" w:w="2891"/>
            <w:vAlign w:val="top"/>
            <w:shd w:fill="FFFFFF"/>
          </w:tcPr>
          <w:p>
            <w:pPr>
              <w:spacing w:after="100" w:before="80" w:line="250" w:lineRule="auto"/>
            </w:pPr>
            <w:r>
              <w:rPr>
                <w:sz w:val="18"/>
              </w:rPr>
              <w:t>Bản rà soát phạm vi, danh sách điều kiện và luồng tiền.</w:t>
            </w:r>
          </w:p>
        </w:tc>
      </w:tr>
      <w:tr>
        <w:trPr>
          <w:cantSplit/>
        </w:trPr>
        <w:tc>
          <w:tcPr>
            <w:tcW w:type="dxa" w:w="624"/>
            <w:vAlign w:val="top"/>
            <w:shd w:fill="F0F5F2"/>
          </w:tcPr>
          <w:p>
            <w:pPr>
              <w:spacing w:after="100" w:before="80" w:line="250" w:lineRule="auto"/>
            </w:pPr>
            <w:r>
              <w:rPr>
                <w:sz w:val="18"/>
              </w:rPr>
              <w:t>F03</w:t>
            </w:r>
          </w:p>
        </w:tc>
        <w:tc>
          <w:tcPr>
            <w:tcW w:type="dxa" w:w="4082"/>
            <w:vAlign w:val="top"/>
            <w:shd w:fill="F0F5F2"/>
          </w:tcPr>
          <w:p>
            <w:pPr>
              <w:spacing w:after="100" w:before="80" w:line="250" w:lineRule="auto"/>
            </w:pPr>
            <w:r>
              <w:rPr>
                <w:sz w:val="18"/>
              </w:rPr>
              <w:t>P0 Hợp nhất dự báo tài chính.</w:t>
            </w:r>
          </w:p>
        </w:tc>
        <w:tc>
          <w:tcPr>
            <w:tcW w:type="dxa" w:w="2154"/>
            <w:vAlign w:val="top"/>
            <w:shd w:fill="F0F5F2"/>
          </w:tcPr>
          <w:p>
            <w:pPr>
              <w:spacing w:after="100" w:before="80" w:line="250" w:lineRule="auto"/>
            </w:pPr>
            <w:r>
              <w:rPr>
                <w:sz w:val="18"/>
              </w:rPr>
              <w:t>CFO</w:t>
            </w:r>
          </w:p>
        </w:tc>
        <w:tc>
          <w:tcPr>
            <w:tcW w:type="dxa" w:w="2891"/>
            <w:vAlign w:val="top"/>
            <w:shd w:fill="F0F5F2"/>
          </w:tcPr>
          <w:p>
            <w:pPr>
              <w:spacing w:after="100" w:before="80" w:line="250" w:lineRule="auto"/>
            </w:pPr>
            <w:r>
              <w:rPr>
                <w:sz w:val="18"/>
              </w:rPr>
              <w:t>Một tệp có công thức, 3 kịch bản, dòng tiền không âm khi có nguồn bù rõ.</w:t>
            </w:r>
          </w:p>
        </w:tc>
      </w:tr>
      <w:tr>
        <w:trPr>
          <w:cantSplit/>
        </w:trPr>
        <w:tc>
          <w:tcPr>
            <w:tcW w:type="dxa" w:w="624"/>
            <w:vAlign w:val="top"/>
            <w:shd w:fill="FFFFFF"/>
          </w:tcPr>
          <w:p>
            <w:pPr>
              <w:spacing w:after="100" w:before="80" w:line="250" w:lineRule="auto"/>
            </w:pPr>
            <w:r>
              <w:rPr>
                <w:sz w:val="18"/>
              </w:rPr>
              <w:t>F04</w:t>
            </w:r>
          </w:p>
        </w:tc>
        <w:tc>
          <w:tcPr>
            <w:tcW w:type="dxa" w:w="4082"/>
            <w:vAlign w:val="top"/>
            <w:shd w:fill="FFFFFF"/>
          </w:tcPr>
          <w:p>
            <w:pPr>
              <w:spacing w:after="100" w:before="80" w:line="250" w:lineRule="auto"/>
            </w:pPr>
            <w:r>
              <w:rPr>
                <w:sz w:val="18"/>
              </w:rPr>
              <w:t>P0 Sửa điểm khi thiếu dữ liệu và lời hứa trên landing.</w:t>
            </w:r>
          </w:p>
        </w:tc>
        <w:tc>
          <w:tcPr>
            <w:tcW w:type="dxa" w:w="2154"/>
            <w:vAlign w:val="top"/>
            <w:shd w:fill="FFFFFF"/>
          </w:tcPr>
          <w:p>
            <w:pPr>
              <w:spacing w:after="100" w:before="80" w:line="250" w:lineRule="auto"/>
            </w:pPr>
            <w:r>
              <w:rPr>
                <w:sz w:val="18"/>
              </w:rPr>
              <w:t>Sản phẩm + CRO</w:t>
            </w:r>
          </w:p>
        </w:tc>
        <w:tc>
          <w:tcPr>
            <w:tcW w:type="dxa" w:w="2891"/>
            <w:vAlign w:val="top"/>
            <w:shd w:fill="FFFFFF"/>
          </w:tcPr>
          <w:p>
            <w:pPr>
              <w:spacing w:after="100" w:before="80" w:line="250" w:lineRule="auto"/>
            </w:pPr>
            <w:r>
              <w:rPr>
                <w:sz w:val="18"/>
              </w:rPr>
              <w:t>0% dữ liệu không có xếp loại; T+1 và 6 tổ chức có điều kiện/nhãn demo.</w:t>
            </w:r>
          </w:p>
        </w:tc>
      </w:tr>
      <w:tr>
        <w:trPr>
          <w:cantSplit/>
        </w:trPr>
        <w:tc>
          <w:tcPr>
            <w:tcW w:type="dxa" w:w="624"/>
            <w:vAlign w:val="top"/>
            <w:shd w:fill="F0F5F2"/>
          </w:tcPr>
          <w:p>
            <w:pPr>
              <w:spacing w:after="100" w:before="80" w:line="250" w:lineRule="auto"/>
            </w:pPr>
            <w:r>
              <w:rPr>
                <w:sz w:val="18"/>
              </w:rPr>
              <w:t>F05</w:t>
            </w:r>
          </w:p>
        </w:tc>
        <w:tc>
          <w:tcPr>
            <w:tcW w:type="dxa" w:w="4082"/>
            <w:vAlign w:val="top"/>
            <w:shd w:fill="F0F5F2"/>
          </w:tcPr>
          <w:p>
            <w:pPr>
              <w:spacing w:after="100" w:before="80" w:line="250" w:lineRule="auto"/>
            </w:pPr>
            <w:r>
              <w:rPr>
                <w:sz w:val="18"/>
              </w:rPr>
              <w:t>P0 Rà MFA và dữ liệu nhật ký.</w:t>
            </w:r>
          </w:p>
        </w:tc>
        <w:tc>
          <w:tcPr>
            <w:tcW w:type="dxa" w:w="2154"/>
            <w:vAlign w:val="top"/>
            <w:shd w:fill="F0F5F2"/>
          </w:tcPr>
          <w:p>
            <w:pPr>
              <w:spacing w:after="100" w:before="80" w:line="250" w:lineRule="auto"/>
            </w:pPr>
            <w:r>
              <w:rPr>
                <w:sz w:val="18"/>
              </w:rPr>
              <w:t>CTO + bảo mật</w:t>
            </w:r>
          </w:p>
        </w:tc>
        <w:tc>
          <w:tcPr>
            <w:tcW w:type="dxa" w:w="2891"/>
            <w:vAlign w:val="top"/>
            <w:shd w:fill="F0F5F2"/>
          </w:tcPr>
          <w:p>
            <w:pPr>
              <w:spacing w:after="100" w:before="80" w:line="250" w:lineRule="auto"/>
            </w:pPr>
            <w:r>
              <w:rPr>
                <w:sz w:val="18"/>
              </w:rPr>
              <w:t>Biên bản kiểm thử API chặn hành động; chính sách trường được hiển thị.</w:t>
            </w:r>
          </w:p>
        </w:tc>
      </w:tr>
      <w:tr>
        <w:trPr>
          <w:cantSplit/>
        </w:trPr>
        <w:tc>
          <w:tcPr>
            <w:tcW w:type="dxa" w:w="624"/>
            <w:vAlign w:val="top"/>
            <w:shd w:fill="FFFFFF"/>
          </w:tcPr>
          <w:p>
            <w:pPr>
              <w:spacing w:after="100" w:before="80" w:line="250" w:lineRule="auto"/>
            </w:pPr>
            <w:r>
              <w:rPr>
                <w:sz w:val="18"/>
              </w:rPr>
              <w:t>F06</w:t>
            </w:r>
          </w:p>
        </w:tc>
        <w:tc>
          <w:tcPr>
            <w:tcW w:type="dxa" w:w="4082"/>
            <w:vAlign w:val="top"/>
            <w:shd w:fill="FFFFFF"/>
          </w:tcPr>
          <w:p>
            <w:pPr>
              <w:spacing w:after="100" w:before="80" w:line="250" w:lineRule="auto"/>
            </w:pPr>
            <w:r>
              <w:rPr>
                <w:sz w:val="18"/>
              </w:rPr>
              <w:t>P0 Xác minh bên tài trợ và phân loại vai trò quỹ.</w:t>
            </w:r>
          </w:p>
        </w:tc>
        <w:tc>
          <w:tcPr>
            <w:tcW w:type="dxa" w:w="2154"/>
            <w:vAlign w:val="top"/>
            <w:shd w:fill="FFFFFF"/>
          </w:tcPr>
          <w:p>
            <w:pPr>
              <w:spacing w:after="100" w:before="80" w:line="250" w:lineRule="auto"/>
            </w:pPr>
            <w:r>
              <w:rPr>
                <w:sz w:val="18"/>
              </w:rPr>
              <w:t>Pháp lý + kinh doanh</w:t>
            </w:r>
          </w:p>
        </w:tc>
        <w:tc>
          <w:tcPr>
            <w:tcW w:type="dxa" w:w="2891"/>
            <w:vAlign w:val="top"/>
            <w:shd w:fill="FFFFFF"/>
          </w:tcPr>
          <w:p>
            <w:pPr>
              <w:spacing w:after="100" w:before="80" w:line="250" w:lineRule="auto"/>
            </w:pPr>
            <w:r>
              <w:rPr>
                <w:sz w:val="18"/>
              </w:rPr>
              <w:t>Hồ sơ giấy phép, sản phẩm và phạm vi được xác nhận.</w:t>
            </w:r>
          </w:p>
        </w:tc>
      </w:tr>
      <w:tr>
        <w:trPr>
          <w:cantSplit/>
        </w:trPr>
        <w:tc>
          <w:tcPr>
            <w:tcW w:type="dxa" w:w="624"/>
            <w:vAlign w:val="top"/>
            <w:shd w:fill="F0F5F2"/>
          </w:tcPr>
          <w:p>
            <w:pPr>
              <w:spacing w:after="100" w:before="80" w:line="250" w:lineRule="auto"/>
            </w:pPr>
            <w:r>
              <w:rPr>
                <w:sz w:val="18"/>
              </w:rPr>
              <w:t>F07</w:t>
            </w:r>
          </w:p>
        </w:tc>
        <w:tc>
          <w:tcPr>
            <w:tcW w:type="dxa" w:w="4082"/>
            <w:vAlign w:val="top"/>
            <w:shd w:fill="F0F5F2"/>
          </w:tcPr>
          <w:p>
            <w:pPr>
              <w:spacing w:after="100" w:before="80" w:line="250" w:lineRule="auto"/>
            </w:pPr>
            <w:r>
              <w:rPr>
                <w:sz w:val="18"/>
              </w:rPr>
              <w:t>P1 Kiểm thử trọn luồng ba vai trò nghiệp vụ.</w:t>
            </w:r>
          </w:p>
        </w:tc>
        <w:tc>
          <w:tcPr>
            <w:tcW w:type="dxa" w:w="2154"/>
            <w:vAlign w:val="top"/>
            <w:shd w:fill="F0F5F2"/>
          </w:tcPr>
          <w:p>
            <w:pPr>
              <w:spacing w:after="100" w:before="80" w:line="250" w:lineRule="auto"/>
            </w:pPr>
            <w:r>
              <w:rPr>
                <w:sz w:val="18"/>
              </w:rPr>
              <w:t>QA + nghiệp vụ</w:t>
            </w:r>
          </w:p>
        </w:tc>
        <w:tc>
          <w:tcPr>
            <w:tcW w:type="dxa" w:w="2891"/>
            <w:vAlign w:val="top"/>
            <w:shd w:fill="F0F5F2"/>
          </w:tcPr>
          <w:p>
            <w:pPr>
              <w:spacing w:after="100" w:before="80" w:line="250" w:lineRule="auto"/>
            </w:pPr>
            <w:r>
              <w:rPr>
                <w:sz w:val="18"/>
              </w:rPr>
              <w:t>Kịch bản gồm thành công, từ chối, điều chỉnh và tất toán; có kết quả thực chạy.</w:t>
            </w:r>
          </w:p>
        </w:tc>
      </w:tr>
      <w:tr>
        <w:trPr>
          <w:cantSplit/>
        </w:trPr>
        <w:tc>
          <w:tcPr>
            <w:tcW w:type="dxa" w:w="624"/>
            <w:vAlign w:val="top"/>
            <w:shd w:fill="FFFFFF"/>
          </w:tcPr>
          <w:p>
            <w:pPr>
              <w:spacing w:after="100" w:before="80" w:line="250" w:lineRule="auto"/>
            </w:pPr>
            <w:r>
              <w:rPr>
                <w:sz w:val="18"/>
              </w:rPr>
              <w:t>F08</w:t>
            </w:r>
          </w:p>
        </w:tc>
        <w:tc>
          <w:tcPr>
            <w:tcW w:type="dxa" w:w="4082"/>
            <w:vAlign w:val="top"/>
            <w:shd w:fill="FFFFFF"/>
          </w:tcPr>
          <w:p>
            <w:pPr>
              <w:spacing w:after="100" w:before="80" w:line="250" w:lineRule="auto"/>
            </w:pPr>
            <w:r>
              <w:rPr>
                <w:sz w:val="18"/>
              </w:rPr>
              <w:t>P1 Sắp xếp lại quản trị và ma trận quyền.</w:t>
            </w:r>
          </w:p>
        </w:tc>
        <w:tc>
          <w:tcPr>
            <w:tcW w:type="dxa" w:w="2154"/>
            <w:vAlign w:val="top"/>
            <w:shd w:fill="FFFFFF"/>
          </w:tcPr>
          <w:p>
            <w:pPr>
              <w:spacing w:after="100" w:before="80" w:line="250" w:lineRule="auto"/>
            </w:pPr>
            <w:r>
              <w:rPr>
                <w:sz w:val="18"/>
              </w:rPr>
              <w:t>Thiết kế + CTO</w:t>
            </w:r>
          </w:p>
        </w:tc>
        <w:tc>
          <w:tcPr>
            <w:tcW w:type="dxa" w:w="2891"/>
            <w:vAlign w:val="top"/>
            <w:shd w:fill="FFFFFF"/>
          </w:tcPr>
          <w:p>
            <w:pPr>
              <w:spacing w:after="100" w:before="80" w:line="250" w:lineRule="auto"/>
            </w:pPr>
            <w:r>
              <w:rPr>
                <w:sz w:val="18"/>
              </w:rPr>
              <w:t>Trang thành viên đúng điều hướng; ma trận theo tổ chức, vai trò, đối tượng.</w:t>
            </w:r>
          </w:p>
        </w:tc>
      </w:tr>
      <w:tr>
        <w:trPr>
          <w:cantSplit/>
        </w:trPr>
        <w:tc>
          <w:tcPr>
            <w:tcW w:type="dxa" w:w="624"/>
            <w:vAlign w:val="top"/>
            <w:shd w:fill="F0F5F2"/>
          </w:tcPr>
          <w:p>
            <w:pPr>
              <w:spacing w:after="100" w:before="80" w:line="250" w:lineRule="auto"/>
            </w:pPr>
            <w:r>
              <w:rPr>
                <w:sz w:val="18"/>
              </w:rPr>
              <w:t>F09</w:t>
            </w:r>
          </w:p>
        </w:tc>
        <w:tc>
          <w:tcPr>
            <w:tcW w:type="dxa" w:w="4082"/>
            <w:vAlign w:val="top"/>
            <w:shd w:fill="F0F5F2"/>
          </w:tcPr>
          <w:p>
            <w:pPr>
              <w:spacing w:after="100" w:before="80" w:line="250" w:lineRule="auto"/>
            </w:pPr>
            <w:r>
              <w:rPr>
                <w:sz w:val="18"/>
              </w:rPr>
              <w:t>P1 Gắn nguồn và trạng thái triển khai cho mọi tuyên bố.</w:t>
            </w:r>
          </w:p>
        </w:tc>
        <w:tc>
          <w:tcPr>
            <w:tcW w:type="dxa" w:w="2154"/>
            <w:vAlign w:val="top"/>
            <w:shd w:fill="F0F5F2"/>
          </w:tcPr>
          <w:p>
            <w:pPr>
              <w:spacing w:after="100" w:before="80" w:line="250" w:lineRule="auto"/>
            </w:pPr>
            <w:r>
              <w:rPr>
                <w:sz w:val="18"/>
              </w:rPr>
              <w:t>Trưởng nhóm</w:t>
            </w:r>
          </w:p>
        </w:tc>
        <w:tc>
          <w:tcPr>
            <w:tcW w:type="dxa" w:w="2891"/>
            <w:vAlign w:val="top"/>
            <w:shd w:fill="F0F5F2"/>
          </w:tcPr>
          <w:p>
            <w:pPr>
              <w:spacing w:after="100" w:before="80" w:line="250" w:lineRule="auto"/>
            </w:pPr>
            <w:r>
              <w:rPr>
                <w:sz w:val="18"/>
              </w:rPr>
              <w:t>Phân loại đã làm/giả lập/kế hoạch; thay URL cũ ở phụ lục trang 79.</w:t>
            </w:r>
          </w:p>
        </w:tc>
      </w:tr>
      <w:tr>
        <w:trPr>
          <w:cantSplit/>
        </w:trPr>
        <w:tc>
          <w:tcPr>
            <w:tcW w:type="dxa" w:w="624"/>
            <w:vAlign w:val="top"/>
            <w:shd w:fill="FFFFFF"/>
          </w:tcPr>
          <w:p>
            <w:pPr>
              <w:spacing w:after="100" w:before="80" w:line="250" w:lineRule="auto"/>
            </w:pPr>
            <w:r>
              <w:rPr>
                <w:sz w:val="18"/>
              </w:rPr>
              <w:t>F10</w:t>
            </w:r>
          </w:p>
        </w:tc>
        <w:tc>
          <w:tcPr>
            <w:tcW w:type="dxa" w:w="4082"/>
            <w:vAlign w:val="top"/>
            <w:shd w:fill="FFFFFF"/>
          </w:tcPr>
          <w:p>
            <w:pPr>
              <w:spacing w:after="100" w:before="80" w:line="250" w:lineRule="auto"/>
            </w:pPr>
            <w:r>
              <w:rPr>
                <w:sz w:val="18"/>
              </w:rPr>
              <w:t>P1 Có bằng chứng khách hàng và pilot.</w:t>
            </w:r>
          </w:p>
        </w:tc>
        <w:tc>
          <w:tcPr>
            <w:tcW w:type="dxa" w:w="2154"/>
            <w:vAlign w:val="top"/>
            <w:shd w:fill="FFFFFF"/>
          </w:tcPr>
          <w:p>
            <w:pPr>
              <w:spacing w:after="100" w:before="80" w:line="250" w:lineRule="auto"/>
            </w:pPr>
            <w:r>
              <w:rPr>
                <w:sz w:val="18"/>
              </w:rPr>
              <w:t>Kinh doanh</w:t>
            </w:r>
          </w:p>
        </w:tc>
        <w:tc>
          <w:tcPr>
            <w:tcW w:type="dxa" w:w="2891"/>
            <w:vAlign w:val="top"/>
            <w:shd w:fill="FFFFFF"/>
          </w:tcPr>
          <w:p>
            <w:pPr>
              <w:spacing w:after="100" w:before="80" w:line="250" w:lineRule="auto"/>
            </w:pPr>
            <w:r>
              <w:rPr>
                <w:sz w:val="18"/>
              </w:rPr>
              <w:t>LOI hoặc biên bản xác nhận từ anchor và tổ chức tài trợ; không chỉ logo đối tác.</w:t>
            </w:r>
          </w:p>
        </w:tc>
      </w:tr>
    </w:tbl>
    <w:p>
      <w:pPr>
        <w:spacing w:after="0"/>
      </w:pPr>
    </w:p>
    <w:p>
      <w:pPr>
        <w:pStyle w:val="Heading2"/>
      </w:pPr>
      <w:r>
        <w:t>Tối giản phần trình diễn</w:t>
      </w:r>
    </w:p>
    <w:p>
      <w:r>
        <w:rPr>
          <w:b w:val="0"/>
        </w:rPr>
        <w:t>Demo một hồ sơ hoàn chỉnh có số liệu nhất quán và một ngoại lệ điều chỉnh hóa đơn làm mất hiệu lực xác nhận. Dùng dữ liệu giả có nhãn; không phê duyệt tín dụng thật. Dự phòng video trình diễn nếu mạng gặp sự cố. Không dùng nhiều màn hình và huy hiệu bảo mật thay cho bằng chứng nghiệp vụ.</w:t>
      </w:r>
    </w:p>
    <w:p>
      <w:r>
        <w:br w:type="page"/>
      </w:r>
    </w:p>
    <w:p>
      <w:pPr>
        <w:pStyle w:val="Heading1"/>
      </w:pPr>
      <w:r>
        <w:t>15 Lộ trình hoàn thiện và tiêu chí quyết định</w:t>
      </w:r>
    </w:p>
    <w:tbl>
      <w:tblPr>
        <w:tblW w:type="auto" w:w="0"/>
        <w:jc w:val="center"/>
        <w:tblLayout w:type="fixed"/>
        <w:tblLook w:firstColumn="1" w:firstRow="1" w:lastColumn="0" w:lastRow="0" w:noHBand="0" w:noVBand="1" w:val="04A0"/>
      </w:tblPr>
      <w:tblGrid>
        <w:gridCol w:w="1871"/>
        <w:gridCol w:w="4309"/>
        <w:gridCol w:w="3572"/>
      </w:tblGrid>
      <w:tr>
        <w:trPr>
          <w:cantSplit/>
          <w:tblHeader/>
        </w:trPr>
        <w:tc>
          <w:tcPr>
            <w:tcW w:type="dxa" w:w="1871"/>
            <w:vAlign w:val="top"/>
            <w:shd w:fill="173F35"/>
          </w:tcPr>
          <w:p>
            <w:pPr>
              <w:spacing w:after="100" w:before="80" w:line="250" w:lineRule="auto"/>
            </w:pPr>
            <w:r>
              <w:rPr>
                <w:b/>
                <w:color w:val="FFFFFF"/>
                <w:sz w:val="18"/>
              </w:rPr>
              <w:t>Giai đoạn</w:t>
            </w:r>
          </w:p>
        </w:tc>
        <w:tc>
          <w:tcPr>
            <w:tcW w:type="dxa" w:w="4309"/>
            <w:vAlign w:val="top"/>
            <w:shd w:fill="173F35"/>
          </w:tcPr>
          <w:p>
            <w:pPr>
              <w:spacing w:after="100" w:before="80" w:line="250" w:lineRule="auto"/>
            </w:pPr>
            <w:r>
              <w:rPr>
                <w:b/>
                <w:color w:val="FFFFFF"/>
                <w:sz w:val="18"/>
              </w:rPr>
              <w:t>Đầu ra</w:t>
            </w:r>
          </w:p>
        </w:tc>
        <w:tc>
          <w:tcPr>
            <w:tcW w:type="dxa" w:w="3572"/>
            <w:vAlign w:val="top"/>
            <w:shd w:fill="173F35"/>
          </w:tcPr>
          <w:p>
            <w:pPr>
              <w:spacing w:after="100" w:before="80" w:line="250" w:lineRule="auto"/>
            </w:pPr>
            <w:r>
              <w:rPr>
                <w:b/>
                <w:color w:val="FFFFFF"/>
                <w:sz w:val="18"/>
              </w:rPr>
              <w:t>Điều kiện qua cổng</w:t>
            </w:r>
          </w:p>
        </w:tc>
      </w:tr>
      <w:tr>
        <w:trPr>
          <w:cantSplit/>
        </w:trPr>
        <w:tc>
          <w:tcPr>
            <w:tcW w:type="dxa" w:w="1871"/>
            <w:vAlign w:val="top"/>
            <w:shd w:fill="F0F5F2"/>
          </w:tcPr>
          <w:p>
            <w:pPr>
              <w:spacing w:after="100" w:before="80" w:line="250" w:lineRule="auto"/>
            </w:pPr>
            <w:r>
              <w:rPr>
                <w:sz w:val="18"/>
              </w:rPr>
              <w:t>0-14 ngày Chuẩn hóa</w:t>
            </w:r>
          </w:p>
        </w:tc>
        <w:tc>
          <w:tcPr>
            <w:tcW w:type="dxa" w:w="4309"/>
            <w:vAlign w:val="top"/>
            <w:shd w:fill="F0F5F2"/>
          </w:tcPr>
          <w:p>
            <w:pPr>
              <w:spacing w:after="100" w:before="80" w:line="250" w:lineRule="auto"/>
            </w:pPr>
            <w:r>
              <w:rPr>
                <w:sz w:val="18"/>
              </w:rPr>
              <w:t>Sửa nội dung pháp lý, vai trò, bảng tiền, nhãn demo và điểm thiếu dữ liệu; danh sách tính năng thật/giả lập.</w:t>
            </w:r>
          </w:p>
        </w:tc>
        <w:tc>
          <w:tcPr>
            <w:tcW w:type="dxa" w:w="3572"/>
            <w:vAlign w:val="top"/>
            <w:shd w:fill="F0F5F2"/>
          </w:tcPr>
          <w:p>
            <w:pPr>
              <w:spacing w:after="100" w:before="80" w:line="250" w:lineRule="auto"/>
            </w:pPr>
            <w:r>
              <w:rPr>
                <w:sz w:val="18"/>
              </w:rPr>
              <w:t>Không còn mâu thuẫn số học và quyền giải ngân; demo có kịch bản và giới hạn rõ.</w:t>
            </w:r>
          </w:p>
        </w:tc>
      </w:tr>
      <w:tr>
        <w:trPr>
          <w:cantSplit/>
        </w:trPr>
        <w:tc>
          <w:tcPr>
            <w:tcW w:type="dxa" w:w="1871"/>
            <w:vAlign w:val="top"/>
            <w:shd w:fill="FFFFFF"/>
          </w:tcPr>
          <w:p>
            <w:pPr>
              <w:spacing w:after="100" w:before="80" w:line="250" w:lineRule="auto"/>
            </w:pPr>
            <w:r>
              <w:rPr>
                <w:sz w:val="18"/>
              </w:rPr>
              <w:t>15-30 ngày Chốt pilot</w:t>
            </w:r>
          </w:p>
        </w:tc>
        <w:tc>
          <w:tcPr>
            <w:tcW w:type="dxa" w:w="4309"/>
            <w:vAlign w:val="top"/>
            <w:shd w:fill="FFFFFF"/>
          </w:tcPr>
          <w:p>
            <w:pPr>
              <w:spacing w:after="100" w:before="80" w:line="250" w:lineRule="auto"/>
            </w:pPr>
            <w:r>
              <w:rPr>
                <w:sz w:val="18"/>
              </w:rPr>
              <w:t>Anchor, bên tài trợ, bộ hồ sơ mẫu, thỏa thuận dữ liệu và bộ kiểm thử.</w:t>
            </w:r>
          </w:p>
        </w:tc>
        <w:tc>
          <w:tcPr>
            <w:tcW w:type="dxa" w:w="3572"/>
            <w:vAlign w:val="top"/>
            <w:shd w:fill="FFFFFF"/>
          </w:tcPr>
          <w:p>
            <w:pPr>
              <w:spacing w:after="100" w:before="80" w:line="250" w:lineRule="auto"/>
            </w:pPr>
            <w:r>
              <w:rPr>
                <w:sz w:val="18"/>
              </w:rPr>
              <w:t>Có người có thẩm quyền đồng ý phạm vi và nguồn lực; cơ sở pháp lý được rà soát.</w:t>
            </w:r>
          </w:p>
        </w:tc>
      </w:tr>
      <w:tr>
        <w:trPr>
          <w:cantSplit/>
        </w:trPr>
        <w:tc>
          <w:tcPr>
            <w:tcW w:type="dxa" w:w="1871"/>
            <w:vAlign w:val="top"/>
            <w:shd w:fill="F0F5F2"/>
          </w:tcPr>
          <w:p>
            <w:pPr>
              <w:spacing w:after="100" w:before="80" w:line="250" w:lineRule="auto"/>
            </w:pPr>
            <w:r>
              <w:rPr>
                <w:sz w:val="18"/>
              </w:rPr>
              <w:t>31-60 ngày Thử nghiệm quy trình</w:t>
            </w:r>
          </w:p>
        </w:tc>
        <w:tc>
          <w:tcPr>
            <w:tcW w:type="dxa" w:w="4309"/>
            <w:vAlign w:val="top"/>
            <w:shd w:fill="F0F5F2"/>
          </w:tcPr>
          <w:p>
            <w:pPr>
              <w:spacing w:after="100" w:before="80" w:line="250" w:lineRule="auto"/>
            </w:pPr>
            <w:r>
              <w:rPr>
                <w:sz w:val="18"/>
              </w:rPr>
              <w:t>30-50 bộ hồ sơ giả hoặc dữ liệu hợp lệ; đo thao tác và chất lượng trước/sau.</w:t>
            </w:r>
          </w:p>
        </w:tc>
        <w:tc>
          <w:tcPr>
            <w:tcW w:type="dxa" w:w="3572"/>
            <w:vAlign w:val="top"/>
            <w:shd w:fill="F0F5F2"/>
          </w:tcPr>
          <w:p>
            <w:pPr>
              <w:spacing w:after="100" w:before="80" w:line="250" w:lineRule="auto"/>
            </w:pPr>
            <w:r>
              <w:rPr>
                <w:sz w:val="18"/>
              </w:rPr>
              <w:t>Không có truy cập chéo; lỗi trọng yếu đã khắc phục; phía tài trợ chấp nhận bộ hồ sơ.</w:t>
            </w:r>
          </w:p>
        </w:tc>
      </w:tr>
      <w:tr>
        <w:trPr>
          <w:cantSplit/>
        </w:trPr>
        <w:tc>
          <w:tcPr>
            <w:tcW w:type="dxa" w:w="1871"/>
            <w:vAlign w:val="top"/>
            <w:shd w:fill="FFFFFF"/>
          </w:tcPr>
          <w:p>
            <w:pPr>
              <w:spacing w:after="100" w:before="80" w:line="250" w:lineRule="auto"/>
            </w:pPr>
            <w:r>
              <w:rPr>
                <w:sz w:val="18"/>
              </w:rPr>
              <w:t>61-90 ngày Pilot có kiểm soát</w:t>
            </w:r>
          </w:p>
        </w:tc>
        <w:tc>
          <w:tcPr>
            <w:tcW w:type="dxa" w:w="4309"/>
            <w:vAlign w:val="top"/>
            <w:shd w:fill="FFFFFF"/>
          </w:tcPr>
          <w:p>
            <w:pPr>
              <w:spacing w:after="100" w:before="80" w:line="250" w:lineRule="auto"/>
            </w:pPr>
            <w:r>
              <w:rPr>
                <w:sz w:val="18"/>
              </w:rPr>
              <w:t>Giao dịch thật chỉ khi đủ điều kiện; đối soát, hỗ trợ và báo cáo tuần.</w:t>
            </w:r>
          </w:p>
        </w:tc>
        <w:tc>
          <w:tcPr>
            <w:tcW w:type="dxa" w:w="3572"/>
            <w:vAlign w:val="top"/>
            <w:shd w:fill="FFFFFF"/>
          </w:tcPr>
          <w:p>
            <w:pPr>
              <w:spacing w:after="100" w:before="80" w:line="250" w:lineRule="auto"/>
            </w:pPr>
            <w:r>
              <w:rPr>
                <w:sz w:val="18"/>
              </w:rPr>
              <w:t>Có bên trả phí; xác nhận được giá trị; vận hành nằm trong chi phí và giới hạn rủi ro đã duyệt.</w:t>
            </w:r>
          </w:p>
        </w:tc>
      </w:tr>
    </w:tbl>
    <w:p>
      <w:pPr>
        <w:spacing w:after="0"/>
      </w:pPr>
    </w:p>
    <w:p>
      <w:pPr>
        <w:pStyle w:val="Heading2"/>
      </w:pPr>
      <w:r>
        <w:t>Bộ chỉ tiêu đề xuất cho pilot</w:t>
      </w:r>
    </w:p>
    <w:p>
      <w:r>
        <w:rPr>
          <w:b w:val="0"/>
        </w:rPr>
        <w:t>Tỷ lệ hoàn tất xác nhận bên mua ≥70% trong 2 ngày làm việc; ≥80% bộ hồ sơ gửi bên tài trợ không phải bổ sung dữ liệu cơ bản; giảm ≥30% thời gian thao tác xác nhận so với quy trình cũ; 100% giao dịch có dấu vết và đối soát; 0 lỗi truy cập chéo tổ chức; ít nhất một hợp đồng trả phí hoặc cam kết trả phí có điều kiện sau pilot. Các ngưỡng này là giả thuyết nghiệm thu để đàm phán, chưa phải kết quả FCC.</w:t>
      </w:r>
    </w:p>
    <w:p>
      <w:r>
        <w:rPr>
          <w:b w:val="0"/>
        </w:rPr>
        <w:t>Đo trung vị và P90 thay vì chỉ trung bình; công bố tử số, mẫu số, thời gian quan sát và hồ sơ bị loại. T+1 chỉ tính từ thời điểm nào đã được các bên thống nhất; nên tách thời gian chờ doanh nghiệp với thời gian xử lý của nền tảng và ngân hàng.</w:t>
      </w:r>
    </w:p>
    <w:p>
      <w:pPr>
        <w:pStyle w:val="Heading2"/>
      </w:pPr>
      <w:r>
        <w:t>Khi nào phải đổi hướng</w:t>
      </w:r>
    </w:p>
    <w:p>
      <w:r>
        <w:rPr>
          <w:b w:val="0"/>
        </w:rPr>
        <w:t>Nếu bên mua không xác nhận dù giảm thao tác, cần thay cơ chế tuyển khách hàng hoặc chọn ngành khác. Nếu ngân hàng không dùng bộ hồ sơ, chuyển sang bán SaaS quản lý công nợ và chuẩn bị hồ sơ thay vì tiếp tục hứa giải ngân. Nếu khách hàng dùng nhưng không trả phí, thử người trả phí là anchor hoặc bên tài trợ trước khi thêm tính năng.</w:t>
      </w:r>
    </w:p>
    <w:p>
      <w:r>
        <w:rPr>
          <w:b w:val="0"/>
        </w:rPr>
        <w:t>Dừng mở rộng khi chưa giải quyết được pháp lý dòng tiền hoặc quyền dữ liệu. Chỉ thêm đối tác tài trợ thứ hai sau khi hồ sơ có thể tái sử dụng hợp lệ; chỉ phát triển mô hình dự báo khi dữ liệu và kết quả trả nợ đủ chất lượng để kiểm định.</w:t>
      </w:r>
    </w:p>
    <w:p>
      <w:r>
        <w:br w:type="page"/>
      </w:r>
    </w:p>
    <w:p>
      <w:pPr>
        <w:pStyle w:val="Heading1"/>
      </w:pPr>
      <w:r>
        <w:t>16 Kịch bản kiểm thử cần bổ sung</w:t>
      </w:r>
    </w:p>
    <w:p>
      <w:r>
        <w:rPr>
          <w:b w:val="0"/>
        </w:rPr>
        <w:t>Danh sách dưới đây là kế hoạch kiểm thử cần chạy ở môi trường được phép và dữ liệu giả. Chưa có kết quả đạt cho các mục chỉ dựa vào thiết kế hoặc nhật ký sẵn có. Việc kiểm tra nên bao gồm cả giao diện và API phía máy chủ.</w:t>
      </w:r>
    </w:p>
    <w:tbl>
      <w:tblPr>
        <w:tblW w:type="auto" w:w="0"/>
        <w:jc w:val="center"/>
        <w:tblLayout w:type="fixed"/>
        <w:tblLook w:firstColumn="1" w:firstRow="1" w:lastColumn="0" w:lastRow="0" w:noHBand="0" w:noVBand="1" w:val="04A0"/>
      </w:tblPr>
      <w:tblGrid>
        <w:gridCol w:w="680"/>
        <w:gridCol w:w="6633"/>
        <w:gridCol w:w="2438"/>
      </w:tblGrid>
      <w:tr>
        <w:trPr>
          <w:cantSplit/>
          <w:tblHeader/>
        </w:trPr>
        <w:tc>
          <w:tcPr>
            <w:tcW w:type="dxa" w:w="680"/>
            <w:vAlign w:val="top"/>
            <w:shd w:fill="173F35"/>
          </w:tcPr>
          <w:p>
            <w:pPr>
              <w:spacing w:after="100" w:before="80" w:line="250" w:lineRule="auto"/>
            </w:pPr>
            <w:r>
              <w:rPr>
                <w:b/>
                <w:color w:val="FFFFFF"/>
                <w:sz w:val="18"/>
              </w:rPr>
              <w:t>Mã</w:t>
            </w:r>
          </w:p>
        </w:tc>
        <w:tc>
          <w:tcPr>
            <w:tcW w:type="dxa" w:w="6633"/>
            <w:vAlign w:val="top"/>
            <w:shd w:fill="173F35"/>
          </w:tcPr>
          <w:p>
            <w:pPr>
              <w:spacing w:after="100" w:before="80" w:line="250" w:lineRule="auto"/>
            </w:pPr>
            <w:r>
              <w:rPr>
                <w:b/>
                <w:color w:val="FFFFFF"/>
                <w:sz w:val="18"/>
              </w:rPr>
              <w:t>Tình huống và kết quả mong đợi</w:t>
            </w:r>
          </w:p>
        </w:tc>
        <w:tc>
          <w:tcPr>
            <w:tcW w:type="dxa" w:w="2438"/>
            <w:vAlign w:val="top"/>
            <w:shd w:fill="173F35"/>
          </w:tcPr>
          <w:p>
            <w:pPr>
              <w:spacing w:after="100" w:before="80" w:line="250" w:lineRule="auto"/>
            </w:pPr>
            <w:r>
              <w:rPr>
                <w:b/>
                <w:color w:val="FFFFFF"/>
                <w:sz w:val="18"/>
              </w:rPr>
              <w:t>Trạng thái trong đánh giá</w:t>
            </w:r>
          </w:p>
        </w:tc>
      </w:tr>
      <w:tr>
        <w:trPr>
          <w:cantSplit/>
        </w:trPr>
        <w:tc>
          <w:tcPr>
            <w:tcW w:type="dxa" w:w="680"/>
            <w:vAlign w:val="top"/>
            <w:shd w:fill="F0F5F2"/>
          </w:tcPr>
          <w:p>
            <w:pPr>
              <w:spacing w:after="100" w:before="80" w:line="250" w:lineRule="auto"/>
            </w:pPr>
            <w:r>
              <w:rPr>
                <w:sz w:val="18"/>
              </w:rPr>
              <w:t>T01</w:t>
            </w:r>
          </w:p>
        </w:tc>
        <w:tc>
          <w:tcPr>
            <w:tcW w:type="dxa" w:w="6633"/>
            <w:vAlign w:val="top"/>
            <w:shd w:fill="F0F5F2"/>
          </w:tcPr>
          <w:p>
            <w:pPr>
              <w:spacing w:after="100" w:before="80" w:line="250" w:lineRule="auto"/>
            </w:pPr>
            <w:r>
              <w:rPr>
                <w:sz w:val="18"/>
              </w:rPr>
              <w:t>Mở /supplier bằng phiên FCC: không vào được không gian nghiệp vụ khác.</w:t>
            </w:r>
          </w:p>
        </w:tc>
        <w:tc>
          <w:tcPr>
            <w:tcW w:type="dxa" w:w="2438"/>
            <w:vAlign w:val="top"/>
            <w:shd w:fill="F0F5F2"/>
          </w:tcPr>
          <w:p>
            <w:pPr>
              <w:spacing w:after="100" w:before="80" w:line="250" w:lineRule="auto"/>
            </w:pPr>
            <w:r>
              <w:rPr>
                <w:sz w:val="18"/>
              </w:rPr>
              <w:t>Đã quan sát điều hướng về /admin; chưa thử API.</w:t>
            </w:r>
          </w:p>
        </w:tc>
      </w:tr>
      <w:tr>
        <w:trPr>
          <w:cantSplit/>
        </w:trPr>
        <w:tc>
          <w:tcPr>
            <w:tcW w:type="dxa" w:w="680"/>
            <w:vAlign w:val="top"/>
            <w:shd w:fill="FFFFFF"/>
          </w:tcPr>
          <w:p>
            <w:pPr>
              <w:spacing w:after="100" w:before="80" w:line="250" w:lineRule="auto"/>
            </w:pPr>
            <w:r>
              <w:rPr>
                <w:sz w:val="18"/>
              </w:rPr>
              <w:t>T02</w:t>
            </w:r>
          </w:p>
        </w:tc>
        <w:tc>
          <w:tcPr>
            <w:tcW w:type="dxa" w:w="6633"/>
            <w:vAlign w:val="top"/>
            <w:shd w:fill="FFFFFF"/>
          </w:tcPr>
          <w:p>
            <w:pPr>
              <w:spacing w:after="100" w:before="80" w:line="250" w:lineRule="auto"/>
            </w:pPr>
            <w:r>
              <w:rPr>
                <w:sz w:val="18"/>
              </w:rPr>
              <w:t>Nhà cung cấp A không đọc/tải/sửa hóa đơn của B dù biết mã hoặc URL.</w:t>
            </w:r>
          </w:p>
        </w:tc>
        <w:tc>
          <w:tcPr>
            <w:tcW w:type="dxa" w:w="2438"/>
            <w:vAlign w:val="top"/>
            <w:shd w:fill="FFFFFF"/>
          </w:tcPr>
          <w:p>
            <w:pPr>
              <w:spacing w:after="100" w:before="80" w:line="250" w:lineRule="auto"/>
            </w:pPr>
            <w:r>
              <w:rPr>
                <w:sz w:val="18"/>
              </w:rPr>
              <w:t>Chưa kiểm thử độc lập.</w:t>
            </w:r>
          </w:p>
        </w:tc>
      </w:tr>
      <w:tr>
        <w:trPr>
          <w:cantSplit/>
        </w:trPr>
        <w:tc>
          <w:tcPr>
            <w:tcW w:type="dxa" w:w="680"/>
            <w:vAlign w:val="top"/>
            <w:shd w:fill="F0F5F2"/>
          </w:tcPr>
          <w:p>
            <w:pPr>
              <w:spacing w:after="100" w:before="80" w:line="250" w:lineRule="auto"/>
            </w:pPr>
            <w:r>
              <w:rPr>
                <w:sz w:val="18"/>
              </w:rPr>
              <w:t>T03</w:t>
            </w:r>
          </w:p>
        </w:tc>
        <w:tc>
          <w:tcPr>
            <w:tcW w:type="dxa" w:w="6633"/>
            <w:vAlign w:val="top"/>
            <w:shd w:fill="F0F5F2"/>
          </w:tcPr>
          <w:p>
            <w:pPr>
              <w:spacing w:after="100" w:before="80" w:line="250" w:lineRule="auto"/>
            </w:pPr>
            <w:r>
              <w:rPr>
                <w:sz w:val="18"/>
              </w:rPr>
              <w:t>Người lập không tự duyệt; chủ tổ chức không vượt loại hình, hạn mức và ủy quyền.</w:t>
            </w:r>
          </w:p>
        </w:tc>
        <w:tc>
          <w:tcPr>
            <w:tcW w:type="dxa" w:w="2438"/>
            <w:vAlign w:val="top"/>
            <w:shd w:fill="F0F5F2"/>
          </w:tcPr>
          <w:p>
            <w:pPr>
              <w:spacing w:after="100" w:before="80" w:line="250" w:lineRule="auto"/>
            </w:pPr>
            <w:r>
              <w:rPr>
                <w:sz w:val="18"/>
              </w:rPr>
              <w:t>Chưa kiểm thử độc lập.</w:t>
            </w:r>
          </w:p>
        </w:tc>
      </w:tr>
      <w:tr>
        <w:trPr>
          <w:cantSplit/>
        </w:trPr>
        <w:tc>
          <w:tcPr>
            <w:tcW w:type="dxa" w:w="680"/>
            <w:vAlign w:val="top"/>
            <w:shd w:fill="FFFFFF"/>
          </w:tcPr>
          <w:p>
            <w:pPr>
              <w:spacing w:after="100" w:before="80" w:line="250" w:lineRule="auto"/>
            </w:pPr>
            <w:r>
              <w:rPr>
                <w:sz w:val="18"/>
              </w:rPr>
              <w:t>T04</w:t>
            </w:r>
          </w:p>
        </w:tc>
        <w:tc>
          <w:tcPr>
            <w:tcW w:type="dxa" w:w="6633"/>
            <w:vAlign w:val="top"/>
            <w:shd w:fill="FFFFFF"/>
          </w:tcPr>
          <w:p>
            <w:pPr>
              <w:spacing w:after="100" w:before="80" w:line="250" w:lineRule="auto"/>
            </w:pPr>
            <w:r>
              <w:rPr>
                <w:sz w:val="18"/>
              </w:rPr>
              <w:t>MFA thiếu, hết hạn hoặc bị hủy: máy chủ từ chối hành động nhạy cảm.</w:t>
            </w:r>
          </w:p>
        </w:tc>
        <w:tc>
          <w:tcPr>
            <w:tcW w:type="dxa" w:w="2438"/>
            <w:vAlign w:val="top"/>
            <w:shd w:fill="FFFFFF"/>
          </w:tcPr>
          <w:p>
            <w:pPr>
              <w:spacing w:after="100" w:before="80" w:line="250" w:lineRule="auto"/>
            </w:pPr>
            <w:r>
              <w:rPr>
                <w:sz w:val="18"/>
              </w:rPr>
              <w:t>MFA chưa bật được quan sát; chưa thực thi hành động.</w:t>
            </w:r>
          </w:p>
        </w:tc>
      </w:tr>
      <w:tr>
        <w:trPr>
          <w:cantSplit/>
        </w:trPr>
        <w:tc>
          <w:tcPr>
            <w:tcW w:type="dxa" w:w="680"/>
            <w:vAlign w:val="top"/>
            <w:shd w:fill="F0F5F2"/>
          </w:tcPr>
          <w:p>
            <w:pPr>
              <w:spacing w:after="100" w:before="80" w:line="250" w:lineRule="auto"/>
            </w:pPr>
            <w:r>
              <w:rPr>
                <w:sz w:val="18"/>
              </w:rPr>
              <w:t>T05</w:t>
            </w:r>
          </w:p>
        </w:tc>
        <w:tc>
          <w:tcPr>
            <w:tcW w:type="dxa" w:w="6633"/>
            <w:vAlign w:val="top"/>
            <w:shd w:fill="F0F5F2"/>
          </w:tcPr>
          <w:p>
            <w:pPr>
              <w:spacing w:after="100" w:before="80" w:line="250" w:lineRule="auto"/>
            </w:pPr>
            <w:r>
              <w:rPr>
                <w:sz w:val="18"/>
              </w:rPr>
              <w:t>Sửa số tiền/ngày hạn sau xác nhận: phiên bản cũ mất hiệu lực và bị chặn tài trợ.</w:t>
            </w:r>
          </w:p>
        </w:tc>
        <w:tc>
          <w:tcPr>
            <w:tcW w:type="dxa" w:w="2438"/>
            <w:vAlign w:val="top"/>
            <w:shd w:fill="F0F5F2"/>
          </w:tcPr>
          <w:p>
            <w:pPr>
              <w:spacing w:after="100" w:before="80" w:line="250" w:lineRule="auto"/>
            </w:pPr>
            <w:r>
              <w:rPr>
                <w:sz w:val="18"/>
              </w:rPr>
              <w:t>Có dấu vết demo; chưa tái hiện.</w:t>
            </w:r>
          </w:p>
        </w:tc>
      </w:tr>
      <w:tr>
        <w:trPr>
          <w:cantSplit/>
        </w:trPr>
        <w:tc>
          <w:tcPr>
            <w:tcW w:type="dxa" w:w="680"/>
            <w:vAlign w:val="top"/>
            <w:shd w:fill="FFFFFF"/>
          </w:tcPr>
          <w:p>
            <w:pPr>
              <w:spacing w:after="100" w:before="80" w:line="250" w:lineRule="auto"/>
            </w:pPr>
            <w:r>
              <w:rPr>
                <w:sz w:val="18"/>
              </w:rPr>
              <w:t>T06</w:t>
            </w:r>
          </w:p>
        </w:tc>
        <w:tc>
          <w:tcPr>
            <w:tcW w:type="dxa" w:w="6633"/>
            <w:vAlign w:val="top"/>
            <w:shd w:fill="FFFFFF"/>
          </w:tcPr>
          <w:p>
            <w:pPr>
              <w:spacing w:after="100" w:before="80" w:line="250" w:lineRule="auto"/>
            </w:pPr>
            <w:r>
              <w:rPr>
                <w:sz w:val="18"/>
              </w:rPr>
              <w:t>Hai bên tài trợ hoặc hai tab cùng chọn: không tài trợ vượt phần còn lại.</w:t>
            </w:r>
          </w:p>
        </w:tc>
        <w:tc>
          <w:tcPr>
            <w:tcW w:type="dxa" w:w="2438"/>
            <w:vAlign w:val="top"/>
            <w:shd w:fill="FFFFFF"/>
          </w:tcPr>
          <w:p>
            <w:pPr>
              <w:spacing w:after="100" w:before="80" w:line="250" w:lineRule="auto"/>
            </w:pPr>
            <w:r>
              <w:rPr>
                <w:sz w:val="18"/>
              </w:rPr>
              <w:t>Chưa kiểm thử đồng thời.</w:t>
            </w:r>
          </w:p>
        </w:tc>
      </w:tr>
      <w:tr>
        <w:trPr>
          <w:cantSplit/>
        </w:trPr>
        <w:tc>
          <w:tcPr>
            <w:tcW w:type="dxa" w:w="680"/>
            <w:vAlign w:val="top"/>
            <w:shd w:fill="F0F5F2"/>
          </w:tcPr>
          <w:p>
            <w:pPr>
              <w:spacing w:after="100" w:before="80" w:line="250" w:lineRule="auto"/>
            </w:pPr>
            <w:r>
              <w:rPr>
                <w:sz w:val="18"/>
              </w:rPr>
              <w:t>T07</w:t>
            </w:r>
          </w:p>
        </w:tc>
        <w:tc>
          <w:tcPr>
            <w:tcW w:type="dxa" w:w="6633"/>
            <w:vAlign w:val="top"/>
            <w:shd w:fill="F0F5F2"/>
          </w:tcPr>
          <w:p>
            <w:pPr>
              <w:spacing w:after="100" w:before="80" w:line="250" w:lineRule="auto"/>
            </w:pPr>
            <w:r>
              <w:rPr>
                <w:sz w:val="18"/>
              </w:rPr>
              <w:t>Thu hồi chia sẻ: bên nhận không xem hoặc tải mới; bản sao đã xuất có quy trình riêng.</w:t>
            </w:r>
          </w:p>
        </w:tc>
        <w:tc>
          <w:tcPr>
            <w:tcW w:type="dxa" w:w="2438"/>
            <w:vAlign w:val="top"/>
            <w:shd w:fill="F0F5F2"/>
          </w:tcPr>
          <w:p>
            <w:pPr>
              <w:spacing w:after="100" w:before="80" w:line="250" w:lineRule="auto"/>
            </w:pPr>
            <w:r>
              <w:rPr>
                <w:sz w:val="18"/>
              </w:rPr>
              <w:t>Có mô tả giao diện; chưa kiểm thử.</w:t>
            </w:r>
          </w:p>
        </w:tc>
      </w:tr>
      <w:tr>
        <w:trPr>
          <w:cantSplit/>
        </w:trPr>
        <w:tc>
          <w:tcPr>
            <w:tcW w:type="dxa" w:w="680"/>
            <w:vAlign w:val="top"/>
            <w:shd w:fill="FFFFFF"/>
          </w:tcPr>
          <w:p>
            <w:pPr>
              <w:spacing w:after="100" w:before="80" w:line="250" w:lineRule="auto"/>
            </w:pPr>
            <w:r>
              <w:rPr>
                <w:sz w:val="18"/>
              </w:rPr>
              <w:t>T08</w:t>
            </w:r>
          </w:p>
        </w:tc>
        <w:tc>
          <w:tcPr>
            <w:tcW w:type="dxa" w:w="6633"/>
            <w:vAlign w:val="top"/>
            <w:shd w:fill="FFFFFF"/>
          </w:tcPr>
          <w:p>
            <w:pPr>
              <w:spacing w:after="100" w:before="80" w:line="250" w:lineRule="auto"/>
            </w:pPr>
            <w:r>
              <w:rPr>
                <w:sz w:val="18"/>
              </w:rPr>
              <w:t>Hóa đơn thay thế, trả hàng, bù trừ, thanh toán một phần: số dư và nghĩa vụ đúng.</w:t>
            </w:r>
          </w:p>
        </w:tc>
        <w:tc>
          <w:tcPr>
            <w:tcW w:type="dxa" w:w="2438"/>
            <w:vAlign w:val="top"/>
            <w:shd w:fill="FFFFFF"/>
          </w:tcPr>
          <w:p>
            <w:pPr>
              <w:spacing w:after="100" w:before="80" w:line="250" w:lineRule="auto"/>
            </w:pPr>
            <w:r>
              <w:rPr>
                <w:sz w:val="18"/>
              </w:rPr>
              <w:t>Chưa kiểm thử.</w:t>
            </w:r>
          </w:p>
        </w:tc>
      </w:tr>
      <w:tr>
        <w:trPr>
          <w:cantSplit/>
        </w:trPr>
        <w:tc>
          <w:tcPr>
            <w:tcW w:type="dxa" w:w="680"/>
            <w:vAlign w:val="top"/>
            <w:shd w:fill="F0F5F2"/>
          </w:tcPr>
          <w:p>
            <w:pPr>
              <w:spacing w:after="100" w:before="80" w:line="250" w:lineRule="auto"/>
            </w:pPr>
            <w:r>
              <w:rPr>
                <w:sz w:val="18"/>
              </w:rPr>
              <w:t>T09</w:t>
            </w:r>
          </w:p>
        </w:tc>
        <w:tc>
          <w:tcPr>
            <w:tcW w:type="dxa" w:w="6633"/>
            <w:vAlign w:val="top"/>
            <w:shd w:fill="F0F5F2"/>
          </w:tcPr>
          <w:p>
            <w:pPr>
              <w:spacing w:after="100" w:before="80" w:line="250" w:lineRule="auto"/>
            </w:pPr>
            <w:r>
              <w:rPr>
                <w:sz w:val="18"/>
              </w:rPr>
              <w:t>Webhook lặp, sai thứ tự, tiền sai tài khoản: không ghi trùng và có hàng đợi đối soát.</w:t>
            </w:r>
          </w:p>
        </w:tc>
        <w:tc>
          <w:tcPr>
            <w:tcW w:type="dxa" w:w="2438"/>
            <w:vAlign w:val="top"/>
            <w:shd w:fill="F0F5F2"/>
          </w:tcPr>
          <w:p>
            <w:pPr>
              <w:spacing w:after="100" w:before="80" w:line="250" w:lineRule="auto"/>
            </w:pPr>
            <w:r>
              <w:rPr>
                <w:sz w:val="18"/>
              </w:rPr>
              <w:t>Chưa kiểm thử.</w:t>
            </w:r>
          </w:p>
        </w:tc>
      </w:tr>
      <w:tr>
        <w:trPr>
          <w:cantSplit/>
        </w:trPr>
        <w:tc>
          <w:tcPr>
            <w:tcW w:type="dxa" w:w="680"/>
            <w:vAlign w:val="top"/>
            <w:shd w:fill="FFFFFF"/>
          </w:tcPr>
          <w:p>
            <w:pPr>
              <w:spacing w:after="100" w:before="80" w:line="250" w:lineRule="auto"/>
            </w:pPr>
            <w:r>
              <w:rPr>
                <w:sz w:val="18"/>
              </w:rPr>
              <w:t>T10</w:t>
            </w:r>
          </w:p>
        </w:tc>
        <w:tc>
          <w:tcPr>
            <w:tcW w:type="dxa" w:w="6633"/>
            <w:vAlign w:val="top"/>
            <w:shd w:fill="FFFFFF"/>
          </w:tcPr>
          <w:p>
            <w:pPr>
              <w:spacing w:after="100" w:before="80" w:line="250" w:lineRule="auto"/>
            </w:pPr>
            <w:r>
              <w:rPr>
                <w:sz w:val="18"/>
              </w:rPr>
              <w:t>ESG 0% dữ liệu: chưa xếp loại; chưa phát hành chính thức.</w:t>
            </w:r>
          </w:p>
        </w:tc>
        <w:tc>
          <w:tcPr>
            <w:tcW w:type="dxa" w:w="2438"/>
            <w:vAlign w:val="top"/>
            <w:shd w:fill="FFFFFF"/>
          </w:tcPr>
          <w:p>
            <w:pPr>
              <w:spacing w:after="100" w:before="80" w:line="250" w:lineRule="auto"/>
            </w:pPr>
            <w:r>
              <w:rPr>
                <w:sz w:val="18"/>
              </w:rPr>
              <w:t>Đã thấy điểm tạm 50; nút phát hành bị khóa vì thiếu độ bao phủ.</w:t>
            </w:r>
          </w:p>
        </w:tc>
      </w:tr>
      <w:tr>
        <w:trPr>
          <w:cantSplit/>
        </w:trPr>
        <w:tc>
          <w:tcPr>
            <w:tcW w:type="dxa" w:w="680"/>
            <w:vAlign w:val="top"/>
            <w:shd w:fill="F0F5F2"/>
          </w:tcPr>
          <w:p>
            <w:pPr>
              <w:spacing w:after="100" w:before="80" w:line="250" w:lineRule="auto"/>
            </w:pPr>
            <w:r>
              <w:rPr>
                <w:sz w:val="18"/>
              </w:rPr>
              <w:t>T11</w:t>
            </w:r>
          </w:p>
        </w:tc>
        <w:tc>
          <w:tcPr>
            <w:tcW w:type="dxa" w:w="6633"/>
            <w:vAlign w:val="top"/>
            <w:shd w:fill="F0F5F2"/>
          </w:tcPr>
          <w:p>
            <w:pPr>
              <w:spacing w:after="100" w:before="80" w:line="250" w:lineRule="auto"/>
            </w:pPr>
            <w:r>
              <w:rPr>
                <w:sz w:val="18"/>
              </w:rPr>
              <w:t>Khôi phục bản sao lưu và thu hồi quyền nhân sự: đạt RPO/RTO mục tiêu, log đủ.</w:t>
            </w:r>
          </w:p>
        </w:tc>
        <w:tc>
          <w:tcPr>
            <w:tcW w:type="dxa" w:w="2438"/>
            <w:vAlign w:val="top"/>
            <w:shd w:fill="F0F5F2"/>
          </w:tcPr>
          <w:p>
            <w:pPr>
              <w:spacing w:after="100" w:before="80" w:line="250" w:lineRule="auto"/>
            </w:pPr>
            <w:r>
              <w:rPr>
                <w:sz w:val="18"/>
              </w:rPr>
              <w:t>Chưa kiểm thử hạ tầng.</w:t>
            </w:r>
          </w:p>
        </w:tc>
      </w:tr>
      <w:tr>
        <w:trPr>
          <w:cantSplit/>
        </w:trPr>
        <w:tc>
          <w:tcPr>
            <w:tcW w:type="dxa" w:w="680"/>
            <w:vAlign w:val="top"/>
            <w:shd w:fill="FFFFFF"/>
          </w:tcPr>
          <w:p>
            <w:pPr>
              <w:spacing w:after="100" w:before="80" w:line="250" w:lineRule="auto"/>
            </w:pPr>
            <w:r>
              <w:rPr>
                <w:sz w:val="18"/>
              </w:rPr>
              <w:t>T12</w:t>
            </w:r>
          </w:p>
        </w:tc>
        <w:tc>
          <w:tcPr>
            <w:tcW w:type="dxa" w:w="6633"/>
            <w:vAlign w:val="top"/>
            <w:shd w:fill="FFFFFF"/>
          </w:tcPr>
          <w:p>
            <w:pPr>
              <w:spacing w:after="100" w:before="80" w:line="250" w:lineRule="auto"/>
            </w:pPr>
            <w:r>
              <w:rPr>
                <w:sz w:val="18"/>
              </w:rPr>
              <w:t>Mobile 360-430 px, bàn phím, trình đọc màn hình, lỗi form, P95 tải.</w:t>
            </w:r>
          </w:p>
        </w:tc>
        <w:tc>
          <w:tcPr>
            <w:tcW w:type="dxa" w:w="2438"/>
            <w:vAlign w:val="top"/>
            <w:shd w:fill="FFFFFF"/>
          </w:tcPr>
          <w:p>
            <w:pPr>
              <w:spacing w:after="100" w:before="80" w:line="250" w:lineRule="auto"/>
            </w:pPr>
            <w:r>
              <w:rPr>
                <w:sz w:val="18"/>
              </w:rPr>
              <w:t>Chưa đo; cần phiên kiểm thử riêng.</w:t>
            </w:r>
          </w:p>
        </w:tc>
      </w:tr>
    </w:tbl>
    <w:p>
      <w:pPr>
        <w:spacing w:after="0"/>
      </w:pPr>
    </w:p>
    <w:p>
      <w:r>
        <w:rPr>
          <w:b w:val="0"/>
        </w:rPr>
        <w:t>Đối với ba tài khoản nghiệp vụ, cần bổ sung ảnh/biên bản kết quả cho nhà cung cấp tạo và gửi hồ sơ, bên mua xác nhận hoặc tranh chấp, bên tài trợ báo giá và phản hồi quyết định. Thực hiện bởi người có quyền trên môi trường thử nghiệm; không dùng giao dịch thật để chứng minh khả năng demo.</w:t>
      </w:r>
    </w:p>
    <w:p>
      <w:r>
        <w:br w:type="page"/>
      </w:r>
    </w:p>
    <w:p>
      <w:pPr>
        <w:pStyle w:val="Heading1"/>
      </w:pPr>
      <w:r>
        <w:t>17 Chuẩn bị bảo vệ dự án trước giám khảo</w:t>
      </w:r>
    </w:p>
    <w:tbl>
      <w:tblPr>
        <w:tblW w:type="auto" w:w="0"/>
        <w:jc w:val="center"/>
        <w:tblLayout w:type="fixed"/>
        <w:tblLook w:firstColumn="1" w:firstRow="1" w:lastColumn="0" w:lastRow="0" w:noHBand="0" w:noVBand="1" w:val="04A0"/>
      </w:tblPr>
      <w:tblGrid>
        <w:gridCol w:w="3458"/>
        <w:gridCol w:w="6293"/>
      </w:tblGrid>
      <w:tr>
        <w:trPr>
          <w:cantSplit/>
          <w:tblHeader/>
        </w:trPr>
        <w:tc>
          <w:tcPr>
            <w:tcW w:type="dxa" w:w="3458"/>
            <w:vAlign w:val="top"/>
            <w:shd w:fill="173F35"/>
          </w:tcPr>
          <w:p>
            <w:pPr>
              <w:spacing w:after="100" w:before="80" w:line="250" w:lineRule="auto"/>
            </w:pPr>
            <w:r>
              <w:rPr>
                <w:b/>
                <w:color w:val="FFFFFF"/>
                <w:sz w:val="18"/>
              </w:rPr>
              <w:t>Câu hỏi phản biện</w:t>
            </w:r>
          </w:p>
        </w:tc>
        <w:tc>
          <w:tcPr>
            <w:tcW w:type="dxa" w:w="6293"/>
            <w:vAlign w:val="top"/>
            <w:shd w:fill="173F35"/>
          </w:tcPr>
          <w:p>
            <w:pPr>
              <w:spacing w:after="100" w:before="80" w:line="250" w:lineRule="auto"/>
            </w:pPr>
            <w:r>
              <w:rPr>
                <w:b/>
                <w:color w:val="FFFFFF"/>
                <w:sz w:val="18"/>
              </w:rPr>
              <w:t>Hướng trả lời và bằng chứng cần có</w:t>
            </w:r>
          </w:p>
        </w:tc>
      </w:tr>
      <w:tr>
        <w:trPr>
          <w:cantSplit/>
        </w:trPr>
        <w:tc>
          <w:tcPr>
            <w:tcW w:type="dxa" w:w="3458"/>
            <w:vAlign w:val="top"/>
            <w:shd w:fill="F0F5F2"/>
          </w:tcPr>
          <w:p>
            <w:pPr>
              <w:spacing w:after="100" w:before="80" w:line="250" w:lineRule="auto"/>
            </w:pPr>
            <w:r>
              <w:rPr>
                <w:sz w:val="18"/>
              </w:rPr>
              <w:t>FCC khác ngân hàng SCF ở điểm nào?</w:t>
            </w:r>
          </w:p>
        </w:tc>
        <w:tc>
          <w:tcPr>
            <w:tcW w:type="dxa" w:w="6293"/>
            <w:vAlign w:val="top"/>
            <w:shd w:fill="F0F5F2"/>
          </w:tcPr>
          <w:p>
            <w:pPr>
              <w:spacing w:after="100" w:before="80" w:line="250" w:lineRule="auto"/>
            </w:pPr>
            <w:r>
              <w:rPr>
                <w:sz w:val="18"/>
              </w:rPr>
              <w:t>Chọn một ngành và chứng minh giảm thời gian phối hợp/chuẩn bị hồ sơ. Không trả lời chỉ bằng AI, blockchain hoặc nhiều ngân hàng.</w:t>
            </w:r>
          </w:p>
        </w:tc>
      </w:tr>
      <w:tr>
        <w:trPr>
          <w:cantSplit/>
        </w:trPr>
        <w:tc>
          <w:tcPr>
            <w:tcW w:type="dxa" w:w="3458"/>
            <w:vAlign w:val="top"/>
            <w:shd w:fill="FFFFFF"/>
          </w:tcPr>
          <w:p>
            <w:pPr>
              <w:spacing w:after="100" w:before="80" w:line="250" w:lineRule="auto"/>
            </w:pPr>
            <w:r>
              <w:rPr>
                <w:sz w:val="18"/>
              </w:rPr>
              <w:t>Ai quyết định cấp vốn và ai chịu lỗ?</w:t>
            </w:r>
          </w:p>
        </w:tc>
        <w:tc>
          <w:tcPr>
            <w:tcW w:type="dxa" w:w="6293"/>
            <w:vAlign w:val="top"/>
            <w:shd w:fill="FFFFFF"/>
          </w:tcPr>
          <w:p>
            <w:pPr>
              <w:spacing w:after="100" w:before="80" w:line="250" w:lineRule="auto"/>
            </w:pPr>
            <w:r>
              <w:rPr>
                <w:sz w:val="18"/>
              </w:rPr>
              <w:t>Nêu đối tác cụ thể, giấy phép, hợp đồng, truy đòi và dòng tiền. FCC chịu trách nhiệm công nghệ trong phạm vi thỏa thuận.</w:t>
            </w:r>
          </w:p>
        </w:tc>
      </w:tr>
      <w:tr>
        <w:trPr>
          <w:cantSplit/>
        </w:trPr>
        <w:tc>
          <w:tcPr>
            <w:tcW w:type="dxa" w:w="3458"/>
            <w:vAlign w:val="top"/>
            <w:shd w:fill="F0F5F2"/>
          </w:tcPr>
          <w:p>
            <w:pPr>
              <w:spacing w:after="100" w:before="80" w:line="250" w:lineRule="auto"/>
            </w:pPr>
            <w:r>
              <w:rPr>
                <w:sz w:val="18"/>
              </w:rPr>
              <w:t>Bên mua có động lực gì để tham gia?</w:t>
            </w:r>
          </w:p>
        </w:tc>
        <w:tc>
          <w:tcPr>
            <w:tcW w:type="dxa" w:w="6293"/>
            <w:vAlign w:val="top"/>
            <w:shd w:fill="F0F5F2"/>
          </w:tcPr>
          <w:p>
            <w:pPr>
              <w:spacing w:after="100" w:before="80" w:line="250" w:lineRule="auto"/>
            </w:pPr>
            <w:r>
              <w:rPr>
                <w:sz w:val="18"/>
              </w:rPr>
              <w:t>Chứng minh lợi ích ổn định nguồn cung, giảm đối soát hoặc điều kiện thương mại; có LOI và đầu mối có quyền quyết định.</w:t>
            </w:r>
          </w:p>
        </w:tc>
      </w:tr>
      <w:tr>
        <w:trPr>
          <w:cantSplit/>
        </w:trPr>
        <w:tc>
          <w:tcPr>
            <w:tcW w:type="dxa" w:w="3458"/>
            <w:vAlign w:val="top"/>
            <w:shd w:fill="FFFFFF"/>
          </w:tcPr>
          <w:p>
            <w:pPr>
              <w:spacing w:after="100" w:before="80" w:line="250" w:lineRule="auto"/>
            </w:pPr>
            <w:r>
              <w:rPr>
                <w:sz w:val="18"/>
              </w:rPr>
              <w:t>Vì sao ngân hàng tin điểm FCC?</w:t>
            </w:r>
          </w:p>
        </w:tc>
        <w:tc>
          <w:tcPr>
            <w:tcW w:type="dxa" w:w="6293"/>
            <w:vAlign w:val="top"/>
            <w:shd w:fill="FFFFFF"/>
          </w:tcPr>
          <w:p>
            <w:pPr>
              <w:spacing w:after="100" w:before="80" w:line="250" w:lineRule="auto"/>
            </w:pPr>
            <w:r>
              <w:rPr>
                <w:sz w:val="18"/>
              </w:rPr>
              <w:t>Đưa phương pháp, bằng chứng dữ liệu và kiểm định. Nếu chưa có thì nói đang hỗ trợ rà hồ sơ và điểm chỉ là giả thuyết.</w:t>
            </w:r>
          </w:p>
        </w:tc>
      </w:tr>
      <w:tr>
        <w:trPr>
          <w:cantSplit/>
        </w:trPr>
        <w:tc>
          <w:tcPr>
            <w:tcW w:type="dxa" w:w="3458"/>
            <w:vAlign w:val="top"/>
            <w:shd w:fill="F0F5F2"/>
          </w:tcPr>
          <w:p>
            <w:pPr>
              <w:spacing w:after="100" w:before="80" w:line="250" w:lineRule="auto"/>
            </w:pPr>
            <w:r>
              <w:rPr>
                <w:sz w:val="18"/>
              </w:rPr>
              <w:t>Có hóa đơn thật sao vẫn không được tài trợ?</w:t>
            </w:r>
          </w:p>
        </w:tc>
        <w:tc>
          <w:tcPr>
            <w:tcW w:type="dxa" w:w="6293"/>
            <w:vAlign w:val="top"/>
            <w:shd w:fill="F0F5F2"/>
          </w:tcPr>
          <w:p>
            <w:pPr>
              <w:spacing w:after="100" w:before="80" w:line="250" w:lineRule="auto"/>
            </w:pPr>
            <w:r>
              <w:rPr>
                <w:sz w:val="18"/>
              </w:rPr>
              <w:t>Nói rõ yêu cầu giao dịch thật, nghiệm thu, công nợ, quyền chuyển giao, tranh chấp và khả năng trả nợ.</w:t>
            </w:r>
          </w:p>
        </w:tc>
      </w:tr>
      <w:tr>
        <w:trPr>
          <w:cantSplit/>
        </w:trPr>
        <w:tc>
          <w:tcPr>
            <w:tcW w:type="dxa" w:w="3458"/>
            <w:vAlign w:val="top"/>
            <w:shd w:fill="FFFFFF"/>
          </w:tcPr>
          <w:p>
            <w:pPr>
              <w:spacing w:after="100" w:before="80" w:line="250" w:lineRule="auto"/>
            </w:pPr>
            <w:r>
              <w:rPr>
                <w:sz w:val="18"/>
              </w:rPr>
              <w:t>180 phiếu có đại diện thị trường không?</w:t>
            </w:r>
          </w:p>
        </w:tc>
        <w:tc>
          <w:tcPr>
            <w:tcW w:type="dxa" w:w="6293"/>
            <w:vAlign w:val="top"/>
            <w:shd w:fill="FFFFFF"/>
          </w:tcPr>
          <w:p>
            <w:pPr>
              <w:spacing w:after="100" w:before="80" w:line="250" w:lineRule="auto"/>
            </w:pPr>
            <w:r>
              <w:rPr>
                <w:sz w:val="18"/>
              </w:rPr>
              <w:t>Trình bày cách chọn mẫu và giới hạn; không suy rộng tỷ lệ quan tâm thành tỷ lệ trả tiền.</w:t>
            </w:r>
          </w:p>
        </w:tc>
      </w:tr>
      <w:tr>
        <w:trPr>
          <w:cantSplit/>
        </w:trPr>
        <w:tc>
          <w:tcPr>
            <w:tcW w:type="dxa" w:w="3458"/>
            <w:vAlign w:val="top"/>
            <w:shd w:fill="F0F5F2"/>
          </w:tcPr>
          <w:p>
            <w:pPr>
              <w:spacing w:after="100" w:before="80" w:line="250" w:lineRule="auto"/>
            </w:pPr>
            <w:r>
              <w:rPr>
                <w:sz w:val="18"/>
              </w:rPr>
              <w:t>6 SME đã hòa vốn thật chưa?</w:t>
            </w:r>
          </w:p>
        </w:tc>
        <w:tc>
          <w:tcPr>
            <w:tcW w:type="dxa" w:w="6293"/>
            <w:vAlign w:val="top"/>
            <w:shd w:fill="F0F5F2"/>
          </w:tcPr>
          <w:p>
            <w:pPr>
              <w:spacing w:after="100" w:before="80" w:line="250" w:lineRule="auto"/>
            </w:pPr>
            <w:r>
              <w:rPr>
                <w:sz w:val="18"/>
              </w:rPr>
              <w:t>Trình bày biên đóng góp, nhân công đầy đủ, chi phí tích hợp, thuế và nhu cầu tiền mặt; dùng mô hình đã hợp nhất.</w:t>
            </w:r>
          </w:p>
        </w:tc>
      </w:tr>
      <w:tr>
        <w:trPr>
          <w:cantSplit/>
        </w:trPr>
        <w:tc>
          <w:tcPr>
            <w:tcW w:type="dxa" w:w="3458"/>
            <w:vAlign w:val="top"/>
            <w:shd w:fill="FFFFFF"/>
          </w:tcPr>
          <w:p>
            <w:pPr>
              <w:spacing w:after="100" w:before="80" w:line="250" w:lineRule="auto"/>
            </w:pPr>
            <w:r>
              <w:rPr>
                <w:sz w:val="18"/>
              </w:rPr>
              <w:t>Tại sao chưa nhận giao dịch thật?</w:t>
            </w:r>
          </w:p>
        </w:tc>
        <w:tc>
          <w:tcPr>
            <w:tcW w:type="dxa" w:w="6293"/>
            <w:vAlign w:val="top"/>
            <w:shd w:fill="FFFFFF"/>
          </w:tcPr>
          <w:p>
            <w:pPr>
              <w:spacing w:after="100" w:before="80" w:line="250" w:lineRule="auto"/>
            </w:pPr>
            <w:r>
              <w:rPr>
                <w:sz w:val="18"/>
              </w:rPr>
              <w:t>Nêu cổng kiểm soát pháp lý, bảo mật, đối tác và giới hạn pilot; không đánh đồng demo với production.</w:t>
            </w:r>
          </w:p>
        </w:tc>
      </w:tr>
    </w:tbl>
    <w:p>
      <w:pPr>
        <w:spacing w:after="0"/>
      </w:pPr>
    </w:p>
    <w:p>
      <w:pPr>
        <w:pStyle w:val="Heading2"/>
      </w:pPr>
      <w:r>
        <w:t>Cấu trúc bài trình bày nên dùng</w:t>
      </w:r>
    </w:p>
    <w:p>
      <w:r>
        <w:rPr>
          <w:b w:val="0"/>
        </w:rPr>
        <w:t>Một tình huống thiếu vốn cụ thể; kết quả nghiên cứu có giới hạn; bộ hồ sơ và xác nhận công nợ; trách nhiệm từng bên và dòng tiền; demo một vòng đời có ngoại lệ; khác biệt so với lựa chọn hiện hữu; kinh tế đơn vị; bằng chứng đối tác; kế hoạch pilot và nhu cầu hỗ trợ.</w:t>
      </w:r>
    </w:p>
    <w:p>
      <w:pPr>
        <w:pStyle w:val="Heading2"/>
      </w:pPr>
      <w:r>
        <w:t>Hồ sơ cần mang theo</w:t>
      </w:r>
    </w:p>
    <w:p>
      <w:r>
        <w:rPr>
          <w:b w:val="0"/>
        </w:rPr>
        <w:t>Bản dữ liệu khảo sát đã khử định danh và bảng hỏi; biên bản phỏng vấn; tài liệu xác nhận đối tác; mô hình tài chính có công thức; sơ đồ tiền và dữ liệu; ma trận quyền; danh sách kiểm thử; danh mục tích hợp thật/giả lập; bản mô tả phạm vi pháp lý. Không đưa mật khẩu vào hồ sơ phát hành rộng.</w:t>
      </w:r>
    </w:p>
    <w:p>
      <w:r>
        <w:rPr>
          <w:b w:val="0"/>
        </w:rPr>
        <w:t>Thông điệp đề xuất: FCC đang xây dựng công cụ giúp chuẩn hóa và xác nhận khoản phải thu trong một chuỗi cung ứng, hỗ trợ doanh nghiệp chuẩn bị hồ sơ để tiếp cận tổ chức tài trợ phù hợp. Mục tiêu pilot là chứng minh giảm thời gian và chi phí phối hợp, trước khi mở rộng nhiều bên tài trợ.</w:t>
      </w:r>
    </w:p>
    <w:p>
      <w:r>
        <w:br w:type="page"/>
      </w:r>
    </w:p>
    <w:p>
      <w:pPr>
        <w:pStyle w:val="Heading1"/>
      </w:pPr>
      <w:r>
        <w:t>18 Danh mục nguồn và cách đối chiếu</w:t>
      </w:r>
    </w:p>
    <w:p>
      <w:r>
        <w:rPr>
          <w:b w:val="0"/>
        </w:rPr>
        <w:t>Các nguồn trực tuyến dưới đây được tra cứu ngày 18/10/2026. Những văn bản có sửa đổi phải được đối chiếu bản hiện hành/hợp nhất trước triển khai. Báo cáo sử dụng nguồn để xác định phạm vi cần rà soát, không xác nhận đã đủ mọi giấy phép.</w:t>
      </w:r>
    </w:p>
    <w:p>
      <w:r>
        <w:rPr>
          <w:b w:val="0"/>
        </w:rPr>
        <w:t>H1  Hồ sơ dự thi nhóm Fin Success Start up BAV 2026 CUỐI, 79 trang. Các vị trí chính: khảo sát 18-21; demo 26-37; tài chính 38-39, 62, 68; giải ngân 39-41, 63; công nghệ và dữ liệu 64-69; rủi ro 71-72; URL demo cũ 79.</w:t>
      </w:r>
    </w:p>
    <w:p>
      <w:r>
        <w:rPr>
          <w:b w:val="0"/>
        </w:rPr>
        <w:t>H2  Ảnh tài khoản do người dùng cung cấp. Bốn bên: FCC, nhà cung cấp, bên mua và tổ chức tài chính. Không sao chép mật khẩu vào báo cáo.</w:t>
      </w:r>
    </w:p>
    <w:p>
      <w:r>
        <w:rPr>
          <w:b w:val="0"/>
        </w:rPr>
        <w:t>W1  Trang giới thiệu và đăng nhập: https://fin-success.vercel.app/ và https://fin-success.vercel.app/login</w:t>
      </w:r>
    </w:p>
    <w:p>
      <w:r>
        <w:rPr>
          <w:b w:val="0"/>
        </w:rPr>
        <w:t>W2  Quản trị, số liệu demo, nhật ký và ma trận quyền: https://fin-success.vercel.app/admin</w:t>
      </w:r>
    </w:p>
    <w:p>
      <w:r>
        <w:rPr>
          <w:b w:val="0"/>
        </w:rPr>
        <w:t>W3  ESG: https://fin-success.vercel.app/admin/esg</w:t>
      </w:r>
    </w:p>
    <w:p>
      <w:r>
        <w:rPr>
          <w:b w:val="0"/>
        </w:rPr>
        <w:t>W4  Nguồn dữ liệu: https://fin-success.vercel.app/admin/sources</w:t>
      </w:r>
    </w:p>
    <w:p>
      <w:r>
        <w:rPr>
          <w:b w:val="0"/>
        </w:rPr>
        <w:t>W5  Cài đặt và chia sẻ: https://fin-success.vercel.app/admin/settings</w:t>
      </w:r>
    </w:p>
    <w:p>
      <w:r>
        <w:rPr>
          <w:b w:val="0"/>
        </w:rPr>
        <w:t>W6  Bảo mật tài khoản: https://fin-success.vercel.app/security</w:t>
      </w:r>
    </w:p>
    <w:p>
      <w:r>
        <w:rPr>
          <w:b w:val="0"/>
        </w:rPr>
        <w:t>L1  Luật 32/2024/QH15 về các TCTD: https://chinhphu.vn/?docid=211190&amp;pageid=27160</w:t>
      </w:r>
    </w:p>
    <w:p>
      <w:r>
        <w:rPr>
          <w:b w:val="0"/>
        </w:rPr>
        <w:t>L1b  Luật 96/2025/QH15, hiệu lực 15/10/2025: https://vanban.chinhphu.vn/?docid=214588&amp;pageid=27160</w:t>
      </w:r>
    </w:p>
    <w:p>
      <w:r>
        <w:rPr>
          <w:b w:val="0"/>
        </w:rPr>
        <w:t>L2  TT 20/2024/TT-NHNN về bao thanh toán: https://vanban.chinhphu.vn/?docid=210567&amp;pageid=27160</w:t>
      </w:r>
    </w:p>
    <w:p>
      <w:r>
        <w:rPr>
          <w:b w:val="0"/>
        </w:rPr>
        <w:t>L3  NĐ 52/2024 về thanh toán không dùng tiền mặt: https://chinhphu.vn/?docid=210262&amp;pageid=27160</w:t>
      </w:r>
    </w:p>
    <w:p>
      <w:r>
        <w:rPr>
          <w:b w:val="0"/>
        </w:rPr>
        <w:t>L4  NĐ 94/2025, phạm vi sandbox và nguyên tắc: https://baochinhphu.vn/co-che-thu-nghiem-co-kiem-soat-trong-linh-vuc-ngan-hang-102250430145715956.htm</w:t>
      </w:r>
    </w:p>
    <w:p>
      <w:r>
        <w:rPr>
          <w:b w:val="0"/>
        </w:rPr>
        <w:t>L5  NĐ 58/2021 về dịch vụ thông tin tín dụng: https://chinhphu.vn/?docid=203387&amp;pageid=27160</w:t>
      </w:r>
    </w:p>
    <w:p>
      <w:r>
        <w:br w:type="page"/>
      </w:r>
    </w:p>
    <w:p>
      <w:pPr>
        <w:pStyle w:val="Heading1"/>
      </w:pPr>
      <w:r>
        <w:t>19 Nguồn pháp lý bổ sung và giới hạn kết luận</w:t>
      </w:r>
    </w:p>
    <w:p>
      <w:r>
        <w:rPr>
          <w:b w:val="0"/>
        </w:rPr>
        <w:t>L6  Luật 91/2025/QH15 về bảo vệ dữ liệu cá nhân, hiệu lực 01/01/2026: https://vanban.chinhphu.vn/?docid=214590&amp;pageid=27160</w:t>
      </w:r>
    </w:p>
    <w:p>
      <w:r>
        <w:rPr>
          <w:b w:val="0"/>
        </w:rPr>
        <w:t>L6a  Giải thích chính thức về dữ liệu trong tài chính, ngân hàng: https://xaydungchinhsach.chinhphu.vn/quy-dinh-bao-ve-du-lieu-ca-nhan-trong-hoat-dong-tai-chinh-ngan-hang-119250725172823942.htm</w:t>
      </w:r>
    </w:p>
    <w:p>
      <w:r>
        <w:rPr>
          <w:b w:val="0"/>
        </w:rPr>
        <w:t>L7  NĐ 356/2025 quy định chi tiết Luật Bảo vệ dữ liệu cá nhân, hiệu lực 01/01/2026: https://vanban.chinhphu.vn/?docid=216387&amp;pageid=27160</w:t>
      </w:r>
    </w:p>
    <w:p>
      <w:r>
        <w:rPr>
          <w:b w:val="0"/>
        </w:rPr>
        <w:t>L8  Luật Giao dịch điện tử 20/2023/QH15: https://chinhphu.vn/?docid=208421&amp;pageid=27160</w:t>
      </w:r>
    </w:p>
    <w:p>
      <w:r>
        <w:rPr>
          <w:b w:val="0"/>
        </w:rPr>
        <w:t>L9  NĐ 23/2025 về chữ ký điện tử và dịch vụ tin cậy: https://chinhphu.vn/?docid=212829&amp;pageid=27160</w:t>
      </w:r>
    </w:p>
    <w:p>
      <w:r>
        <w:rPr>
          <w:b w:val="0"/>
        </w:rPr>
        <w:t>L10  NĐ 70/2025 sửa đổi NĐ 123/2020 về hóa đơn, chứng từ: https://chinhphu.vn/?docid=213179&amp;pageid=27160</w:t>
      </w:r>
    </w:p>
    <w:p>
      <w:r>
        <w:rPr>
          <w:b w:val="0"/>
        </w:rPr>
        <w:t>L11  Luật Phòng chống rửa tiền 14/2022/QH15 và đối tượng báo cáo: https://xaydungchinhsach.chinhphu.vn/luat-14-2022-qh15-bo-sung-doi-tuong-bao-cao-la-cac-to-chuc-cung-ung-dich-vu-trung-gian-thanh-toan-119221203103622267.htm</w:t>
      </w:r>
    </w:p>
    <w:p>
      <w:r>
        <w:rPr>
          <w:b w:val="0"/>
        </w:rPr>
        <w:t>L12  Bộ luật Dân sự 91/2015/QH13, nhóm quy định chuyển giao quyền yêu cầu cần rà soát trong cấu trúc hợp đồng: https://chinhphu.vn/?docid=183188&amp;pageid=27160</w:t>
      </w:r>
    </w:p>
    <w:p>
      <w:r>
        <w:rPr>
          <w:b w:val="0"/>
        </w:rPr>
        <w:t>L13  QĐ 21/2025/QĐ-TTg về tiêu chí môi trường và xác nhận dự án thuộc danh mục phân loại xanh: https://vanban.chinhphu.vn/?docid=214447&amp;pageid=27160</w:t>
      </w:r>
    </w:p>
    <w:p>
      <w:r>
        <w:rPr>
          <w:b w:val="0"/>
        </w:rPr>
        <w:t>L14  BIDV SCFast 2026, công bố 06/02/2026 trên bidv.com.vn. Tra cứu tiêu đề SCFast 2026 Trợ lực toàn diện nâng tầm doanh nghiệp trong chuỗi cung ứng; nguồn ngân hàng xác nhận có nền tảng số SCF và kết nối ERP.</w:t>
      </w:r>
    </w:p>
    <w:p>
      <w:r>
        <w:rPr>
          <w:b w:val="0"/>
        </w:rPr>
        <w:t>L15  Luật 23/2026/QH16, hiệu lực 01/12/2026, chưa có hiệu lực tại ngày đánh giá: https://vanban.chinhphu.vn/?docid=219491&amp;pageid=27160</w:t>
      </w:r>
    </w:p>
    <w:p>
      <w:r>
        <w:rPr>
          <w:b w:val="0"/>
        </w:rPr>
        <w:t>L16  Luật 20/2026/QH16 sửa đổi một số luật gồm Luật Giao dịch điện tử, hiệu lực 01/03/2027: https://vanban.chinhphu.vn/?docid=219488&amp;pageid=27160</w:t>
      </w:r>
    </w:p>
    <w:p>
      <w:r>
        <w:rPr>
          <w:b/>
        </w:rPr>
        <w:t>Giới hạn: chưa kiểm toán mã nguồn, cơ sở dữ liệu, giấy phép, hợp đồng đối tác, mô hình AI, hạ tầng hay các luồng ba tài khoản nghiệp vụ. Nhận xét pháp lý là chỉ dẫn rà soát có điều kiện; mọi quyết định thử nghiệm thật cần căn cứ hoạt động cụ thể và ý kiến chuyên môn phù hợp.</w:t>
      </w:r>
    </w:p>
    <w:sectPr w:rsidR="00FC693F" w:rsidRPr="0006063C" w:rsidSect="00034616">
      <w:footerReference w:type="default" r:id="rId9"/>
      <w:pgSz w:w="11906" w:h="16838"/>
      <w:pgMar w:top="935"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56E"/>
        <w:sz w:val="16"/>
      </w:rPr>
      <w:t xml:space="preserve">FCC | Đánh giá ngày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43F35"/>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4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dự án FCC Fast Cash Connect</dc:title>
  <dc:subject>Đánh giá dự án khởi nghiệp Fin Success và sản phẩm demo ngày 18 tháng 10 năm 2026</dc:subject>
  <dc:creator>Báo cáo phân tích phục vụ nhóm Fin Success</dc:creator>
  <cp:keywords/>
  <dc:description>generated by python-docx</dc:description>
  <cp:lastModifiedBy/>
  <cp:revision>1</cp:revision>
  <dcterms:created xsi:type="dcterms:W3CDTF">2013-12-23T23:15:00Z</dcterms:created>
  <dcterms:modified xsi:type="dcterms:W3CDTF">2013-12-23T23:15:00Z</dcterms:modified>
  <cp:category/>
</cp:coreProperties>
</file>