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29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Thái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P6(450Kg)- 2CO700- 60- 03S/O.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Kg)- 2CO700- 60- 03S/O”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Kg)- 2CO700- 60- 03S/O”</w:t>
              <w:br/>
              <w:t>-Khung thép chịu lực sơn tĩnh điện màu café 120x120x40mm.</w:t>
              <w:br/>
              <w:t>-Kính an toàn 2 lớp 8.38mm film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365.000.000</w:t>
            </w:r>
          </w:p>
        </w:tc>
        <w:tc>
          <w:tcPr>
            <w:tcW w:w="1923" w:type="dxa"/>
            <w:tcBorders>
              <w:top w:val="single" w:sz="4" w:space="0" w:color="auto"/>
              <w:left w:val="single" w:sz="4" w:space="0" w:color="auto"/>
              <w:bottom w:val="single" w:sz="4" w:space="0" w:color="auto"/>
              <w:right w:val="single" w:sz="4" w:space="0" w:color="auto"/>
            </w:tcBorders>
            <w:vAlign w:val="center"/>
          </w:tcPr>
          <w:p>
            <w:r>
              <w:t>365.000.000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365.000.000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sáu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t>Kỳ 1 : Tạm ứng: 40% tương đương 146.000.000 VND (Một trăm bôn mươi sáu triệu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t>Kỳ 2 : Thanh toán: 50% tương đương 182.500.000 VND (Một trăm tám mươi hai triệu năm trăm nghìn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t>Kỳ 3 : Thanh toán: 10% tương đương 36.500.000 VND (Ba mươi sáu triệu năm trăm nghìn đồng) ngay sau khi bên B thi công, lắp đặt và vận hành thang máy vào hoạt động bình thường.</w:t>
      </w:r>
    </w:p>
    <w:p>
      <w:r>
        <w:rPr>
          <w:rFonts w:ascii="Times New Roman" w:hAnsi="Times New Roman"/>
          <w:b/>
        </w:rPr>
        <w:t>Chi tiết số tiền thanh toán: Kỳ 1 (40%) = 146.000.000 VNĐ; Kỳ 2 (50%) = 182.500.000 VNĐ; Kỳ 3 (10%) = 36.500.000 VNĐ.</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P6(450Kg)- 2CO700-60- 03S/O)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1650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