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29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365.000.000</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r>
        <w:rPr>
          <w:rFonts w:ascii="Times New Roman" w:hAnsi="Times New Roman"/>
          <w:b/>
        </w:rPr>
        <w:t>Chi tiết số tiền thanh toán: Kỳ 1 (40%) = 146.000.000 VNĐ; Kỳ 2 (50%) = 182.500.000 VNĐ; Kỳ 3 (10%) = 36.500.000 VNĐ.</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