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09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(Anh chốt đơn giá giúp em)</w:t>
            </w:r>
          </w:p>
        </w:tc>
        <w:tc>
          <w:tcPr>
            <w:tcW w:w="1923" w:type="dxa"/>
            <w:tcBorders>
              <w:top w:val="single" w:sz="4" w:space="0" w:color="auto"/>
              <w:left w:val="single" w:sz="4" w:space="0" w:color="auto"/>
              <w:bottom w:val="single" w:sz="4" w:space="0" w:color="auto"/>
              <w:right w:val="single" w:sz="4" w:space="0" w:color="auto"/>
            </w:tcBorders>
            <w:vAlign w:val="center"/>
          </w:tcPr>
          <w:p>
            <w:r>
              <w:t>(Anh chốt đơn giá giúp em)</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(Anh chốt đơn giá giúp em)</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(Anh chốt đơn giá bằng chữ giúp em)</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