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w:t>
      </w:r>
      <w:r>
        <w:rPr>
          <w:rFonts w:cs="Times New Roman" w:ascii="Times New Roman" w:hAnsi="Times New Roman"/>
        </w:rPr>
        <w:t>06/05/26/TH</w:t>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06 tháng 05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 xml:space="preserve">ông </w:t>
      </w:r>
      <w:r>
        <w:rPr>
          <w:rFonts w:cs="Times New Roman" w:ascii="Times New Roman" w:hAnsi="Times New Roman"/>
          <w:sz w:val="24"/>
          <w:lang w:val="vi-VN"/>
        </w:rPr>
        <w:t xml:space="preserve"> </w:t>
      </w:r>
      <w:r>
        <w:rPr>
          <w:rFonts w:cs="Times New Roman" w:ascii="Times New Roman" w:hAnsi="Times New Roman"/>
          <w:b/>
          <w:bCs/>
          <w:sz w:val="24"/>
        </w:rPr>
        <w:t>ĐỐ ĐỨC LUYỆN</w:t>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18/04/1958.</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w:t>
      </w:r>
      <w:r>
        <w:rPr>
          <w:rFonts w:cs="Times New Roman" w:ascii="Times New Roman" w:hAnsi="Times New Roman"/>
          <w:sz w:val="24"/>
        </w:rPr>
        <w:t xml:space="preserve"> theo căn cước</w:t>
      </w:r>
      <w:r>
        <w:rPr>
          <w:rFonts w:cs="Times New Roman" w:ascii="Times New Roman" w:hAnsi="Times New Roman"/>
          <w:sz w:val="24"/>
          <w:lang w:val="vi-VN"/>
        </w:rPr>
        <w:t xml:space="preserve">: </w:t>
      </w:r>
      <w:r>
        <w:rPr>
          <w:rFonts w:cs="Times New Roman" w:ascii="Times New Roman" w:hAnsi="Times New Roman"/>
          <w:sz w:val="24"/>
        </w:rPr>
        <w:t>Thôn Phúc Thọ, Nghĩa Trụ, Hưng Yên , Việt Nam</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033058005839</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Bên B nhận cung cấp và lắp đặt trọn gói cho Bên A 01 thang máy cho dự án: “</w:t>
      </w:r>
      <w:r>
        <w:rPr>
          <w:rFonts w:cs="Times New Roman" w:ascii="Times New Roman" w:hAnsi="Times New Roman"/>
          <w:b/>
          <w:bCs/>
          <w:sz w:val="24"/>
          <w:lang w:val="nl-NL"/>
        </w:rPr>
        <w:t xml:space="preserve">Xây dựng </w:t>
      </w:r>
      <w:r>
        <w:rPr>
          <w:rFonts w:cs="Times New Roman" w:ascii="Times New Roman" w:hAnsi="Times New Roman"/>
          <w:b/>
          <w:bCs/>
          <w:color w:val="0D0D0D"/>
          <w:sz w:val="24"/>
        </w:rPr>
        <w:t>căn SAN HÔ 22 - 59,</w:t>
      </w:r>
      <w:r>
        <w:rPr>
          <w:rFonts w:cs="Times New Roman" w:ascii="Times New Roman" w:hAnsi="Times New Roman"/>
          <w:b/>
          <w:bCs/>
          <w:color w:val="0D0D0D"/>
          <w:sz w:val="24"/>
          <w:lang w:val="nl-NL"/>
        </w:rPr>
        <w:t>OCP2</w:t>
      </w:r>
      <w:r>
        <w:rPr>
          <w:rFonts w:cs="Times New Roman" w:ascii="Times New Roman" w:hAnsi="Times New Roman"/>
          <w:sz w:val="24"/>
          <w:lang w:val="nl-NL"/>
        </w:rPr>
        <w:t xml:space="preserve">” với các đặc tính kỹ thuật cơ bản và giá trị cụ thể như sau: </w:t>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color w:val="FF0000"/>
                <w:sz w:val="26"/>
                <w:szCs w:val="26"/>
              </w:rPr>
              <w:t>-Thang máy kính quan sát không phòng máy loại inox sọc nhuyễn 304“FUJI TH - ELEVATOR P6 (450 Kg)- 2CO700- 60- 05S/O”</w:t>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xml:space="preserve">: Tại: “ </w:t>
      </w:r>
      <w:bookmarkStart w:id="0" w:name="_Hlk214692469"/>
      <w:r>
        <w:rPr>
          <w:rFonts w:cs="Times New Roman" w:ascii="Times New Roman" w:hAnsi="Times New Roman"/>
          <w:color w:val="0D0D0D"/>
          <w:sz w:val="24"/>
        </w:rPr>
        <w:t xml:space="preserve">Căn </w:t>
      </w:r>
      <w:bookmarkEnd w:id="0"/>
      <w:r>
        <w:rPr>
          <w:rFonts w:cs="Times New Roman" w:ascii="Times New Roman" w:hAnsi="Times New Roman"/>
          <w:b/>
          <w:bCs/>
          <w:color w:val="0D0D0D"/>
          <w:sz w:val="24"/>
        </w:rPr>
        <w:t>SAN HÔ 22 - 59,</w:t>
      </w:r>
      <w:r>
        <w:rPr>
          <w:rFonts w:cs="Times New Roman" w:ascii="Times New Roman" w:hAnsi="Times New Roman"/>
          <w:b/>
          <w:bCs/>
          <w:color w:val="0D0D0D"/>
          <w:sz w:val="24"/>
          <w:lang w:val="nl-NL"/>
        </w:rPr>
        <w:t>OCP2</w:t>
      </w:r>
      <w:r>
        <w:rPr>
          <w:rFonts w:cs="Times New Roman" w:ascii="Times New Roman" w:hAnsi="Times New Roman"/>
          <w:color w:val="0D0D0D"/>
          <w:sz w:val="24"/>
          <w:lang w:val="nl-NL"/>
        </w:rPr>
        <w:t>,Nghĩa Trụ, Hưng Yên, Việt Nam</w:t>
      </w:r>
      <w:r>
        <w:rPr>
          <w:rFonts w:cs="Times New Roman" w:ascii="Times New Roman" w:hAnsi="Times New Roman"/>
          <w:color w:val="0D0D0D"/>
          <w:sz w:val="24"/>
        </w:rPr>
        <w:t>”</w:t>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w:t>
      </w:r>
      <w:r>
        <w:rPr>
          <w:rFonts w:cs="Times New Roman" w:ascii="Times New Roman" w:hAnsi="Times New Roman"/>
          <w:sz w:val="24"/>
        </w:rPr>
        <w:t>: Việc thanh toán được tiến hành làm bốn (04) lần như sau:</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color w:val="FF0000"/>
          <w:szCs w:val="24"/>
          <w:lang w:val="vi-VN"/>
        </w:rPr>
        <w:t xml:space="preserve">Lần 1: Bên A thanh toán cho bên B 40,2439% tổng giá trị hợp đồng cho bên B, tương đương số tiền: 165.000.000 (Bằng chữ: Một trăm sáu mươi lăm triệu đồng chẵn) ngay sau khi hợp đồng được hai bên ký kết và bên A nhận được đầy đủ hồ sơ bao gồm: </w:t>
      </w:r>
      <w:r>
        <w:rPr>
          <w:rFonts w:cs="Times New Roman" w:ascii="Times New Roman" w:hAnsi="Times New Roman"/>
          <w:bCs/>
          <w:szCs w:val="24"/>
          <w:lang w:val="vi-VN"/>
        </w:rPr>
      </w:r>
      <w:r>
        <w:rPr>
          <w:rFonts w:cs="Times New Roman" w:ascii="Times New Roman" w:hAnsi="Times New Roman"/>
          <w:b/>
          <w:szCs w:val="24"/>
        </w:rPr>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Cs/>
          <w:szCs w:val="24"/>
          <w:lang w:val="vi-VN"/>
        </w:rPr>
      </w:r>
      <w:r>
        <w:rPr>
          <w:rFonts w:cs="Times New Roman" w:ascii="Times New Roman" w:hAnsi="Times New Roman"/>
          <w:bCs/>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color w:val="FF0000"/>
          <w:szCs w:val="24"/>
          <w:u w:val="single"/>
          <w:lang w:val="vi-VN"/>
        </w:rPr>
        <w:t xml:space="preserve">Lần 2: Bên A thanh toán cho bên B 48,7805% tổng giá trị hợp đồng khi hàng về đến chân công trình tương đương số tiền: 200.000.000 (Bằng chữ: Hai trăm triệu đồng chẵn). Bên B gửi cho bên A các giấy tờ sau: </w:t>
      </w:r>
      <w:r>
        <w:rPr>
          <w:rFonts w:cs="Times New Roman" w:ascii="Times New Roman" w:hAnsi="Times New Roman"/>
          <w:b/>
          <w:bCs/>
          <w:i/>
          <w:szCs w:val="24"/>
          <w:lang w:val="vi-VN"/>
        </w:rPr>
      </w:r>
      <w:r>
        <w:rPr>
          <w:rFonts w:cs="Times New Roman" w:ascii="Times New Roman" w:hAnsi="Times New Roman"/>
          <w:bCs/>
          <w:szCs w:val="24"/>
          <w:lang w:val="vi-VN"/>
        </w:rPr>
      </w:r>
      <w:r>
        <w:rPr>
          <w:rFonts w:cs="Times New Roman" w:ascii="Times New Roman" w:hAnsi="Times New Roman"/>
          <w:b/>
          <w:bCs/>
          <w:szCs w:val="24"/>
        </w:rPr>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r>
      <w:r>
        <w:rPr>
          <w:rFonts w:cs="Times New Roman" w:ascii="Times New Roman" w:hAnsi="Times New Roman"/>
          <w:bCs/>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color w:val="FF0000"/>
          <w:sz w:val="24"/>
          <w:u w:val="single"/>
          <w:lang w:val="vi-VN"/>
        </w:rPr>
        <w:t>Lần 3: Thanh toán tiếp 8,5366% tổng giá trị hợp đồng tương đương số tiền: 35.000.000 (Bằng chữ: Ba mươi lăm triệu đồng chẵn) trong vòng 10 ngày kể từ ngày Bên B hoàn thiện, bàn giao và đưa thang vào sử dụng. Bên B gửi cho bên A những giấy tờ sau:</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color w:val="FF0000"/>
          <w:sz w:val="24"/>
          <w:u w:val="single"/>
          <w:lang w:val="vi-VN"/>
        </w:rPr>
        <w:t>Lần 4: Thanh toán tiếp phần còn lại tương đương số tiền: 10.000.000 (Bằng chữ: Mười triệu đồng chẵn) trong vòng 01 năm kể từ ngày Bên B bàn giao cho Bên A.</w:t>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color w:val="FF0000"/>
          <w:sz w:val="24"/>
        </w:rPr>
        <w:t>Thời gian bảo hành toàn bộ hệ thống thang máy là 24 tháng, bảo trì thang máy 24 tháng, định kỳ 02 tháng/lần kể từ ngày nghiệm thu, bàn giao thang đưa vào sử dụng, hoặc 26 tháng kể từ ngày hàng giao đến công trình tùy theo điều kiện nào đến trước…</w:t>
      </w:r>
      <w:r>
        <w:rPr>
          <w:rFonts w:cs="Times New Roman" w:ascii="Times New Roman" w:hAnsi="Times New Roman"/>
          <w:b/>
          <w:sz w:val="24"/>
        </w:rPr>
      </w:r>
      <w:r>
        <w:rPr>
          <w:rFonts w:cs="Times New Roman" w:ascii="Times New Roman" w:hAnsi="Times New Roman"/>
          <w:sz w:val="24"/>
        </w:rPr>
      </w:r>
      <w:r>
        <w:rPr>
          <w:rFonts w:cs="Times New Roman" w:ascii="Times New Roman" w:hAnsi="Times New Roman"/>
          <w:b/>
          <w:sz w:val="24"/>
        </w:rPr>
      </w:r>
      <w:r>
        <w:rPr>
          <w:rFonts w:cs="Times New Roman" w:ascii="Times New Roman" w:hAnsi="Times New Roman"/>
          <w:sz w:val="24"/>
        </w:rPr>
      </w:r>
      <w:r>
        <w:rPr>
          <w:rFonts w:cs="Times New Roman" w:ascii="Times New Roman" w:hAnsi="Times New Roman"/>
          <w:b/>
          <w:sz w:val="24"/>
        </w:rPr>
      </w:r>
      <w:r>
        <w:rPr>
          <w:rFonts w:cs="Times New Roman" w:ascii="Times New Roman" w:hAnsi="Times New Roman"/>
          <w:bCs/>
          <w:sz w:val="24"/>
        </w:rPr>
      </w:r>
      <w:r>
        <w:rPr>
          <w:rFonts w:cs="Times New Roman" w:ascii="Times New Roman" w:hAnsi="Times New Roman"/>
          <w:sz w:val="24"/>
        </w:rPr>
      </w:r>
      <w:r>
        <w:rPr>
          <w:rFonts w:cs="Times New Roman" w:ascii="Times New Roman" w:hAnsi="Times New Roman"/>
          <w:b/>
          <w:bCs/>
          <w:sz w:val="24"/>
        </w:rPr>
      </w:r>
      <w:r>
        <w:rPr>
          <w:rFonts w:cs="Times New Roman" w:ascii="Times New Roman" w:hAnsi="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color w:val="FF0000"/>
          <w:sz w:val="24"/>
        </w:rPr>
        <w:t>Trong suốt thời gian bảo hành, Bên B sẽ tiến hành bảo dưỡng thiết bị định kỳ 02 tháng 01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FF0000"/>
          <w:sz w:val="26"/>
          <w:szCs w:val="26"/>
        </w:rPr>
        <w:t>(Thang không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FF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450kg (tương đương 6 người)</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FF0000"/>
                <w:sz w:val="24"/>
              </w:rPr>
              <w:t>Bố trí sẵn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Lắp hệ thống chiếu sáng, thông gió cho giếng thang theo yêu cầu kỹ thuật.</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FF0000"/>
                <w:sz w:val="24"/>
              </w:rPr>
              <w:t>Chuẩn bị đầy đủ các điều kiện kỹ thuật theo bản vẽ thiết kế và thực tế công trình trước khi lắp đặt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sym w:font="Wingdings" w:char="f0e0"/>
              <w:sym w:font="Wingdings" w:char="f0e0"/>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 xml:space="preserve">Tủ điều khiển nhập khẩu: </w:t>
            </w:r>
            <w:r>
              <w:rPr>
                <w:rFonts w:cs="Times New Roman" w:ascii="Times New Roman" w:hAnsi="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 xml:space="preserve">ĐỘNG CƠ </w:t>
            </w:r>
            <w:r>
              <w:rPr>
                <w:rFonts w:cs="Times New Roman" w:ascii="Times New Roman" w:hAnsi="Times New Roman"/>
                <w:b/>
                <w:bCs/>
                <w:color w:val="000000"/>
                <w:sz w:val="24"/>
                <w:szCs w:val="24"/>
                <w:lang w:val="en-US" w:eastAsia="en-US"/>
              </w:rPr>
              <w:t>TORIN</w:t>
            </w:r>
            <w:r>
              <w:rPr>
                <w:rFonts w:cs="Times New Roman" w:ascii="Times New Roman" w:hAnsi="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450kg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