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i w:val="0"/>
          <w:sz w:val="28"/>
        </w:rPr>
        <w:t>CỘNG HÒA XÃ HỘI CHỦ NGHĨA VIỆT NAM</w:t>
      </w:r>
    </w:p>
    <w:p>
      <w:pPr>
        <w:spacing w:after="80" w:line="276" w:lineRule="auto"/>
        <w:jc w:val="center"/>
      </w:pPr>
      <w:r>
        <w:rPr>
          <w:rFonts w:ascii="Times New Roman" w:hAnsi="Times New Roman" w:eastAsia="Times New Roman"/>
          <w:b/>
          <w:i w:val="0"/>
          <w:sz w:val="26"/>
        </w:rPr>
        <w:t>Độc lập - Tự do - Hạnh phúc</w:t>
      </w:r>
    </w:p>
    <w:p>
      <w:pPr>
        <w:spacing w:after="0" w:line="276" w:lineRule="auto"/>
        <w:jc w:val="center"/>
      </w:pPr>
      <w:r>
        <w:rPr>
          <w:rFonts w:ascii="Times New Roman" w:hAnsi="Times New Roman" w:eastAsia="Times New Roman"/>
          <w:b/>
          <w:i w:val="0"/>
          <w:sz w:val="30"/>
        </w:rPr>
        <w:t>HỢP ĐỒNG CUNG CẤP - LẮP ĐẶT</w:t>
      </w:r>
    </w:p>
    <w:p>
      <w:pPr>
        <w:spacing w:after="80" w:line="276" w:lineRule="auto"/>
        <w:jc w:val="center"/>
      </w:pPr>
      <w:r>
        <w:rPr>
          <w:rFonts w:ascii="Times New Roman" w:hAnsi="Times New Roman" w:eastAsia="Times New Roman"/>
          <w:b w:val="0"/>
          <w:i w:val="0"/>
          <w:sz w:val="26"/>
        </w:rPr>
        <w:t>Số: ....../05/26/FJTH</w:t>
      </w:r>
    </w:p>
    <w:p>
      <w:pPr>
        <w:spacing w:after="80" w:line="276" w:lineRule="auto"/>
        <w:ind w:firstLine="567"/>
      </w:pPr>
      <w:r>
        <w:rPr>
          <w:rFonts w:ascii="Times New Roman" w:hAnsi="Times New Roman" w:eastAsia="Times New Roman"/>
          <w:b w:val="0"/>
          <w:i w:val="0"/>
          <w:sz w:val="26"/>
        </w:rPr>
        <w:t>- Căn cứ Bộ luật Dân sự số 91/2015/QH13 được Quốc hội nước CHXHCN Việt Nam thông qua ngày 24/11/2015;</w:t>
      </w:r>
    </w:p>
    <w:p>
      <w:pPr>
        <w:spacing w:after="80" w:line="276" w:lineRule="auto"/>
        <w:ind w:firstLine="567"/>
      </w:pPr>
      <w:r>
        <w:rPr>
          <w:rFonts w:ascii="Times New Roman" w:hAnsi="Times New Roman" w:eastAsia="Times New Roman"/>
          <w:b w:val="0"/>
          <w:i w:val="0"/>
          <w:sz w:val="26"/>
        </w:rPr>
        <w:t>- Căn cứ Luật Thương mại số 36/2005/QH11 được Quốc hội nước CHXHCN Việt Nam thông qua ngày 14/06/2005;</w:t>
      </w:r>
    </w:p>
    <w:p>
      <w:pPr>
        <w:spacing w:after="80" w:line="276" w:lineRule="auto"/>
        <w:ind w:firstLine="567"/>
      </w:pPr>
      <w:r>
        <w:rPr>
          <w:rFonts w:ascii="Times New Roman" w:hAnsi="Times New Roman" w:eastAsia="Times New Roman"/>
          <w:b w:val="0"/>
          <w:i w:val="0"/>
          <w:sz w:val="26"/>
        </w:rPr>
        <w:t>- Căn cứ vào nhu cầu và khả năng thực hiện của hai bên.</w:t>
      </w:r>
    </w:p>
    <w:p>
      <w:pPr>
        <w:spacing w:after="80" w:line="276" w:lineRule="auto"/>
        <w:ind w:firstLine="567"/>
      </w:pPr>
      <w:r>
        <w:rPr>
          <w:rFonts w:ascii="Times New Roman" w:hAnsi="Times New Roman" w:eastAsia="Times New Roman"/>
          <w:b w:val="0"/>
          <w:i w:val="0"/>
          <w:sz w:val="26"/>
        </w:rPr>
        <w:t>Hôm nay, ngày ..... tháng ..... năm 2026, tại văn phòng Công ty TNHH FUJI TH, chúng tôi gồm có:</w:t>
      </w:r>
    </w:p>
    <w:p>
      <w:pPr>
        <w:spacing w:after="80" w:line="276" w:lineRule="auto"/>
      </w:pPr>
      <w:r>
        <w:rPr>
          <w:rFonts w:ascii="Times New Roman" w:hAnsi="Times New Roman" w:eastAsia="Times New Roman"/>
          <w:b/>
          <w:i w:val="0"/>
          <w:sz w:val="26"/>
        </w:rPr>
        <w:t>BÊN A: BÊN MUA</w:t>
      </w:r>
    </w:p>
    <w:p>
      <w:pPr>
        <w:spacing w:after="80" w:line="276" w:lineRule="auto"/>
      </w:pPr>
      <w:r>
        <w:rPr>
          <w:rFonts w:ascii="Times New Roman" w:hAnsi="Times New Roman" w:eastAsia="Times New Roman"/>
          <w:b w:val="0"/>
          <w:i w:val="0"/>
          <w:sz w:val="26"/>
        </w:rPr>
        <w:t>Đại diện: ............................................................</w:t>
      </w:r>
    </w:p>
    <w:p>
      <w:pPr>
        <w:spacing w:after="80" w:line="276" w:lineRule="auto"/>
      </w:pPr>
      <w:r>
        <w:rPr>
          <w:rFonts w:ascii="Times New Roman" w:hAnsi="Times New Roman" w:eastAsia="Times New Roman"/>
          <w:b w:val="0"/>
          <w:i w:val="0"/>
          <w:sz w:val="26"/>
        </w:rPr>
        <w:t>Điện thoại: ............................................................</w:t>
      </w:r>
    </w:p>
    <w:p>
      <w:pPr>
        <w:spacing w:after="80" w:line="276" w:lineRule="auto"/>
      </w:pPr>
      <w:r>
        <w:rPr>
          <w:rFonts w:ascii="Times New Roman" w:hAnsi="Times New Roman" w:eastAsia="Times New Roman"/>
          <w:b w:val="0"/>
          <w:i w:val="0"/>
          <w:sz w:val="26"/>
        </w:rPr>
        <w:t>Địa chỉ công trình: OCP3, Nghĩa Trụ, Hưng Yên</w:t>
      </w:r>
    </w:p>
    <w:p>
      <w:pPr>
        <w:spacing w:after="80" w:line="276" w:lineRule="auto"/>
      </w:pPr>
      <w:r>
        <w:rPr>
          <w:rFonts w:ascii="Times New Roman" w:hAnsi="Times New Roman" w:eastAsia="Times New Roman"/>
          <w:b/>
          <w:i w:val="0"/>
          <w:sz w:val="26"/>
        </w:rPr>
        <w:t>BÊN B: CÔNG TY TNHH FUJI TH</w:t>
      </w:r>
    </w:p>
    <w:p>
      <w:pPr>
        <w:spacing w:after="80" w:line="276" w:lineRule="auto"/>
      </w:pPr>
      <w:r>
        <w:rPr>
          <w:rFonts w:ascii="Times New Roman" w:hAnsi="Times New Roman" w:eastAsia="Times New Roman"/>
          <w:b w:val="0"/>
          <w:i w:val="0"/>
          <w:sz w:val="26"/>
        </w:rPr>
        <w:t>Đại diện: Ông NGUYỄN VĂN TUÂN</w:t>
      </w:r>
    </w:p>
    <w:p>
      <w:pPr>
        <w:spacing w:after="80" w:line="276" w:lineRule="auto"/>
      </w:pPr>
      <w:r>
        <w:rPr>
          <w:rFonts w:ascii="Times New Roman" w:hAnsi="Times New Roman" w:eastAsia="Times New Roman"/>
          <w:b w:val="0"/>
          <w:i w:val="0"/>
          <w:sz w:val="26"/>
        </w:rPr>
        <w:t>Chức vụ: Giám đốc</w:t>
      </w:r>
    </w:p>
    <w:p>
      <w:pPr>
        <w:spacing w:after="80" w:line="276" w:lineRule="auto"/>
      </w:pPr>
      <w:r>
        <w:rPr>
          <w:rFonts w:ascii="Times New Roman" w:hAnsi="Times New Roman" w:eastAsia="Times New Roman"/>
          <w:b w:val="0"/>
          <w:i w:val="0"/>
          <w:sz w:val="26"/>
        </w:rPr>
        <w:t>Địa chỉ: Số 10/117 Mai Phúc, phường Phúc Lợi, TP. Hà Nội</w:t>
      </w:r>
    </w:p>
    <w:p>
      <w:pPr>
        <w:spacing w:after="80" w:line="276" w:lineRule="auto"/>
      </w:pPr>
      <w:r>
        <w:rPr>
          <w:rFonts w:ascii="Times New Roman" w:hAnsi="Times New Roman" w:eastAsia="Times New Roman"/>
          <w:b w:val="0"/>
          <w:i w:val="0"/>
          <w:sz w:val="26"/>
        </w:rPr>
        <w:t>Điện thoại: 0989397282</w:t>
      </w:r>
    </w:p>
    <w:p>
      <w:pPr>
        <w:spacing w:after="80" w:line="276" w:lineRule="auto"/>
      </w:pPr>
      <w:r>
        <w:rPr>
          <w:rFonts w:ascii="Times New Roman" w:hAnsi="Times New Roman" w:eastAsia="Times New Roman"/>
          <w:b w:val="0"/>
          <w:i w:val="0"/>
          <w:sz w:val="26"/>
        </w:rPr>
        <w:t>Mã số thuế: 0109220557</w:t>
      </w:r>
    </w:p>
    <w:p>
      <w:pPr>
        <w:spacing w:after="80" w:line="276" w:lineRule="auto"/>
      </w:pPr>
      <w:r>
        <w:rPr>
          <w:rFonts w:ascii="Times New Roman" w:hAnsi="Times New Roman" w:eastAsia="Times New Roman"/>
          <w:b w:val="0"/>
          <w:i w:val="0"/>
          <w:sz w:val="26"/>
        </w:rPr>
        <w:t>Số tài khoản: 1020896868 tại Ngân hàng TMCP Á Châu (ACB) - Chi nhánh Hà Nội</w:t>
      </w:r>
    </w:p>
    <w:p>
      <w:pPr>
        <w:spacing w:after="80" w:line="276" w:lineRule="auto"/>
        <w:ind w:firstLine="567"/>
      </w:pPr>
      <w:r>
        <w:rPr>
          <w:rFonts w:ascii="Times New Roman" w:hAnsi="Times New Roman" w:eastAsia="Times New Roman"/>
          <w:b w:val="0"/>
          <w:i w:val="0"/>
          <w:sz w:val="26"/>
        </w:rPr>
        <w:t>Hai bên thống nhất ký kết hợp đồng cung cấp, lắp đặt thang máy với các điều khoản sau:</w:t>
      </w:r>
    </w:p>
    <w:p>
      <w:pPr>
        <w:spacing w:after="80" w:line="276" w:lineRule="auto"/>
      </w:pPr>
      <w:r>
        <w:rPr>
          <w:rFonts w:ascii="Times New Roman" w:hAnsi="Times New Roman" w:eastAsia="Times New Roman"/>
          <w:b/>
          <w:i w:val="0"/>
          <w:sz w:val="26"/>
        </w:rPr>
        <w:t>ĐIỀU 1. NỘI DUNG HỢP ĐỒNG VÀ GIÁ TRỊ HỢP ĐỒNG</w:t>
      </w:r>
    </w:p>
    <w:p>
      <w:pPr>
        <w:spacing w:after="80" w:line="276" w:lineRule="auto"/>
        <w:ind w:firstLine="567"/>
      </w:pPr>
      <w:r>
        <w:rPr>
          <w:rFonts w:ascii="Times New Roman" w:hAnsi="Times New Roman" w:eastAsia="Times New Roman"/>
          <w:b w:val="0"/>
          <w:i w:val="0"/>
          <w:sz w:val="26"/>
        </w:rPr>
        <w:t>Bên B nhận cung cấp và lắp đặt trọn gói cho Bên A 01 thang máy tải khách cho công trình chị Thuý tại OCP3, Nghĩa Trụ, Hưng Yên với các đặc tính cơ bản như sau:</w:t>
      </w:r>
    </w:p>
    <w:p>
      <w:pPr>
        <w:spacing w:after="80" w:line="276" w:lineRule="auto"/>
      </w:pPr>
      <w:r>
        <w:rPr>
          <w:rFonts w:ascii="Times New Roman" w:hAnsi="Times New Roman" w:eastAsia="Times New Roman"/>
          <w:b w:val="0"/>
          <w:i w:val="0"/>
          <w:sz w:val="26"/>
        </w:rPr>
        <w:t>- Loại thang: Thang máy tải khách</w:t>
      </w:r>
    </w:p>
    <w:p>
      <w:pPr>
        <w:spacing w:after="80" w:line="276" w:lineRule="auto"/>
      </w:pPr>
      <w:r>
        <w:rPr>
          <w:rFonts w:ascii="Times New Roman" w:hAnsi="Times New Roman" w:eastAsia="Times New Roman"/>
          <w:b w:val="0"/>
          <w:i w:val="0"/>
          <w:sz w:val="26"/>
        </w:rPr>
        <w:t>- Tải trọng: 350kg</w:t>
      </w:r>
    </w:p>
    <w:p>
      <w:pPr>
        <w:spacing w:after="80" w:line="276" w:lineRule="auto"/>
      </w:pPr>
      <w:r>
        <w:rPr>
          <w:rFonts w:ascii="Times New Roman" w:hAnsi="Times New Roman" w:eastAsia="Times New Roman"/>
          <w:b w:val="0"/>
          <w:i w:val="0"/>
          <w:sz w:val="26"/>
        </w:rPr>
        <w:t>- Số tầng / điểm dừng: 05 tầng</w:t>
      </w:r>
    </w:p>
    <w:p>
      <w:pPr>
        <w:spacing w:after="80" w:line="276" w:lineRule="auto"/>
      </w:pPr>
      <w:r>
        <w:rPr>
          <w:rFonts w:ascii="Times New Roman" w:hAnsi="Times New Roman" w:eastAsia="Times New Roman"/>
          <w:b w:val="0"/>
          <w:i w:val="0"/>
          <w:sz w:val="26"/>
        </w:rPr>
        <w:t>- Kiểu thang: Có phòng máy</w:t>
      </w:r>
    </w:p>
    <w:p>
      <w:pPr>
        <w:spacing w:after="80" w:line="276" w:lineRule="auto"/>
      </w:pPr>
      <w:r>
        <w:rPr>
          <w:rFonts w:ascii="Times New Roman" w:hAnsi="Times New Roman" w:eastAsia="Times New Roman"/>
          <w:b w:val="0"/>
          <w:i w:val="0"/>
          <w:sz w:val="26"/>
        </w:rPr>
        <w:t>- Vật liệu cabin: Inox sọc nhuyễn màu đen dày 1.2mm</w:t>
      </w:r>
    </w:p>
    <w:p>
      <w:pPr>
        <w:spacing w:after="80" w:line="276" w:lineRule="auto"/>
      </w:pPr>
      <w:r>
        <w:rPr>
          <w:rFonts w:ascii="Times New Roman" w:hAnsi="Times New Roman" w:eastAsia="Times New Roman"/>
          <w:b w:val="0"/>
          <w:i w:val="0"/>
          <w:sz w:val="26"/>
        </w:rPr>
        <w:t>- Kính hố thang: Kính Hải Long an toàn 2 lớp 8.38mm film màu xanh đen</w:t>
      </w:r>
    </w:p>
    <w:p>
      <w:r>
        <w:rPr>
          <w:rFonts w:ascii="Times New Roman" w:hAnsi="Times New Roman" w:eastAsia="Times New Roman"/>
          <w:sz w:val="26"/>
        </w:rPr>
        <w:t>- Kích thước hố thang: 1450 x 1380</w:t>
      </w:r>
    </w:p>
    <w:p>
      <w:r>
        <w:rPr>
          <w:rFonts w:ascii="Times New Roman" w:hAnsi="Times New Roman" w:eastAsia="Times New Roman"/>
          <w:sz w:val="26"/>
        </w:rPr>
        <w:t>- Rộng cửa tầng: 600mm</w:t>
      </w:r>
    </w:p>
    <w:p>
      <w:pPr>
        <w:spacing w:after="80" w:line="276" w:lineRule="auto"/>
      </w:pPr>
      <w:r>
        <w:rPr>
          <w:rFonts w:ascii="Times New Roman" w:hAnsi="Times New Roman" w:eastAsia="Times New Roman"/>
          <w:b w:val="0"/>
          <w:i w:val="0"/>
          <w:sz w:val="26"/>
        </w:rPr>
        <w:t>- Thiết bị chính: Đồng bộ theo đặc tính báo giá và phụ lục kỹ thuật đi kèm</w:t>
      </w:r>
    </w:p>
    <w:p>
      <w:pPr>
        <w:spacing w:after="80" w:line="276" w:lineRule="auto"/>
      </w:pPr>
      <w:r>
        <w:rPr>
          <w:rFonts w:ascii="Times New Roman" w:hAnsi="Times New Roman" w:eastAsia="Times New Roman"/>
          <w:b/>
          <w:i w:val="0"/>
          <w:sz w:val="26"/>
        </w:rPr>
        <w:t xml:space="preserve">Tổng giá trị hợp đồng: </w:t>
      </w:r>
      <w:r>
        <w:rPr>
          <w:rFonts w:ascii="Times New Roman" w:hAnsi="Times New Roman" w:eastAsia="Times New Roman"/>
          <w:b/>
          <w:i w:val="0"/>
          <w:sz w:val="26"/>
        </w:rPr>
        <w:t>425.000.000 VNĐ</w:t>
      </w:r>
    </w:p>
    <w:p>
      <w:pPr>
        <w:spacing w:after="80" w:line="276" w:lineRule="auto"/>
      </w:pPr>
      <w:r>
        <w:rPr>
          <w:rFonts w:ascii="Times New Roman" w:hAnsi="Times New Roman" w:eastAsia="Times New Roman"/>
          <w:b/>
          <w:i w:val="0"/>
          <w:sz w:val="26"/>
        </w:rPr>
        <w:t xml:space="preserve">Bằng chữ: </w:t>
      </w:r>
      <w:r>
        <w:rPr>
          <w:rFonts w:ascii="Times New Roman" w:hAnsi="Times New Roman" w:eastAsia="Times New Roman"/>
          <w:b w:val="0"/>
          <w:i w:val="0"/>
          <w:sz w:val="26"/>
        </w:rPr>
        <w:t>Bốn trăm hai mươi lăm triệu đồng</w:t>
      </w:r>
    </w:p>
    <w:p>
      <w:pPr>
        <w:spacing w:after="80" w:line="276" w:lineRule="auto"/>
        <w:ind w:firstLine="567"/>
      </w:pPr>
      <w:r>
        <w:rPr>
          <w:rFonts w:ascii="Times New Roman" w:hAnsi="Times New Roman" w:eastAsia="Times New Roman"/>
          <w:b w:val="0"/>
          <w:i w:val="0"/>
          <w:sz w:val="26"/>
        </w:rPr>
        <w:t>Giá trị trên là giá trọn gói chìa khóa trao tay, bao gồm: cung cấp thiết bị, vận chuyển, lắp đặt, vận hành, kiểm định an toàn và hướng dẫn sử dụng; chưa bao gồm thuế VAT 8%.</w:t>
      </w:r>
    </w:p>
    <w:p>
      <w:pPr>
        <w:spacing w:after="80" w:line="276" w:lineRule="auto"/>
      </w:pPr>
      <w:r>
        <w:rPr>
          <w:rFonts w:ascii="Times New Roman" w:hAnsi="Times New Roman" w:eastAsia="Times New Roman"/>
          <w:b/>
          <w:i w:val="0"/>
          <w:sz w:val="26"/>
        </w:rPr>
        <w:t>ĐIỀU 2. THỜI GIAN THỰC HIỆN VÀ ĐỊA ĐIỂM LẮP ĐẶT</w:t>
      </w:r>
    </w:p>
    <w:p>
      <w:pPr>
        <w:spacing w:after="80" w:line="276" w:lineRule="auto"/>
        <w:ind w:firstLine="567"/>
      </w:pPr>
      <w:r>
        <w:rPr>
          <w:rFonts w:ascii="Times New Roman" w:hAnsi="Times New Roman" w:eastAsia="Times New Roman"/>
          <w:b w:val="0"/>
          <w:i w:val="0"/>
          <w:sz w:val="26"/>
        </w:rPr>
        <w:t>Địa điểm lắp đặt: Công trình chị Thuý, OCP3, Nghĩa Trụ, Hưng Yên.</w:t>
      </w:r>
    </w:p>
    <w:p>
      <w:pPr>
        <w:spacing w:after="80" w:line="276" w:lineRule="auto"/>
        <w:ind w:firstLine="567"/>
      </w:pPr>
      <w:r>
        <w:rPr>
          <w:rFonts w:ascii="Times New Roman" w:hAnsi="Times New Roman" w:eastAsia="Times New Roman"/>
          <w:b w:val="0"/>
          <w:i w:val="0"/>
          <w:sz w:val="26"/>
        </w:rPr>
        <w:t>Thời gian chuẩn bị vật tư, thiết bị kể từ khi Bên B nhận được thanh toán đợt 1: 150 ngày.</w:t>
      </w:r>
    </w:p>
    <w:p>
      <w:pPr>
        <w:spacing w:after="80" w:line="276" w:lineRule="auto"/>
        <w:ind w:firstLine="567"/>
      </w:pPr>
      <w:r>
        <w:rPr>
          <w:rFonts w:ascii="Times New Roman" w:hAnsi="Times New Roman" w:eastAsia="Times New Roman"/>
          <w:b w:val="0"/>
          <w:i w:val="0"/>
          <w:sz w:val="26"/>
        </w:rPr>
        <w:t>Thời gian thi công lắp đặt hoàn chỉnh, kiểm định và bàn giao kể từ khi Bên B nhận được thanh toán đợt 2 và mặt bằng đủ điều kiện thi công: 30 ngày.</w:t>
      </w:r>
    </w:p>
    <w:p>
      <w:pPr>
        <w:spacing w:after="80" w:line="276" w:lineRule="auto"/>
        <w:ind w:firstLine="567"/>
      </w:pPr>
      <w:r>
        <w:rPr>
          <w:rFonts w:ascii="Times New Roman" w:hAnsi="Times New Roman" w:eastAsia="Times New Roman"/>
          <w:b w:val="0"/>
          <w:i w:val="0"/>
          <w:sz w:val="26"/>
        </w:rPr>
        <w:t>Tiến độ thực tế có thể điều chỉnh nếu Bên A thay đổi cấu hình, bàn giao hố thang chậm hoặc phát sinh các điều kiện khách quan khác.</w:t>
      </w:r>
    </w:p>
    <w:p>
      <w:pPr>
        <w:spacing w:after="80" w:line="276" w:lineRule="auto"/>
      </w:pPr>
      <w:r>
        <w:rPr>
          <w:rFonts w:ascii="Times New Roman" w:hAnsi="Times New Roman" w:eastAsia="Times New Roman"/>
          <w:b/>
          <w:i w:val="0"/>
          <w:sz w:val="26"/>
        </w:rPr>
        <w:t>ĐIỀU 3. PHƯƠNG THỨC VÀ TIẾN ĐỘ THANH TOÁN</w:t>
      </w:r>
    </w:p>
    <w:p>
      <w:pPr>
        <w:spacing w:after="80" w:line="276" w:lineRule="auto"/>
        <w:ind w:firstLine="567"/>
      </w:pPr>
      <w:r>
        <w:rPr>
          <w:rFonts w:ascii="Times New Roman" w:hAnsi="Times New Roman" w:eastAsia="Times New Roman"/>
          <w:b w:val="0"/>
          <w:i w:val="0"/>
          <w:sz w:val="26"/>
        </w:rPr>
        <w:t>Việc thanh toán được thực hiện thành 03 đợt như sau:</w:t>
      </w:r>
    </w:p>
    <w:p>
      <w:pPr>
        <w:spacing w:after="80" w:line="276" w:lineRule="auto"/>
      </w:pPr>
      <w:r>
        <w:rPr>
          <w:rFonts w:ascii="Times New Roman" w:hAnsi="Times New Roman" w:eastAsia="Times New Roman"/>
          <w:b w:val="0"/>
          <w:i w:val="0"/>
          <w:sz w:val="26"/>
        </w:rPr>
        <w:t>- Đợt 1: Tạm ứng 40% giá trị hợp đồng. tương đương 170.000.000 VNĐ (Một trăm bảy mươi triệu đồng). thanh toán ngay sau khi ký hợp đồng.</w:t>
      </w:r>
    </w:p>
    <w:p>
      <w:pPr>
        <w:spacing w:after="80" w:line="276" w:lineRule="auto"/>
      </w:pPr>
      <w:r>
        <w:rPr>
          <w:rFonts w:ascii="Times New Roman" w:hAnsi="Times New Roman" w:eastAsia="Times New Roman"/>
          <w:b w:val="0"/>
          <w:i w:val="0"/>
          <w:sz w:val="26"/>
        </w:rPr>
        <w:t>- Đợt 2: Thanh toán 50% giá trị hợp đồng. tương đương 212.500.000 VNĐ (Hai trăm mười hai triệu năm trăm nghìn đồng). thanh toán khi Bên B tập kết toàn bộ thiết bị về chân công trình.</w:t>
      </w:r>
    </w:p>
    <w:p>
      <w:pPr>
        <w:spacing w:after="80" w:line="276" w:lineRule="auto"/>
      </w:pPr>
      <w:r>
        <w:rPr>
          <w:rFonts w:ascii="Times New Roman" w:hAnsi="Times New Roman" w:eastAsia="Times New Roman"/>
          <w:b w:val="0"/>
          <w:i w:val="0"/>
          <w:sz w:val="26"/>
        </w:rPr>
        <w:t>- Đợt 3: Thanh toán 10% giá trị hợp đồng còn lại. tương đương 42.500.000 VNĐ (Bốn mươi hai triệu năm trăm nghìn đồng). thanh toán ngay sau khi Bên B thi công. lắp đặt. vận hành thang máy hoạt động bình thường và bàn giao cho Bên A.</w:t>
      </w:r>
    </w:p>
    <w:p>
      <w:pPr>
        <w:spacing w:after="80" w:line="276" w:lineRule="auto"/>
        <w:ind w:firstLine="567"/>
      </w:pPr>
      <w:r>
        <w:rPr>
          <w:rFonts w:ascii="Times New Roman" w:hAnsi="Times New Roman" w:eastAsia="Times New Roman"/>
          <w:b w:val="0"/>
          <w:i w:val="0"/>
          <w:sz w:val="26"/>
        </w:rPr>
        <w:t>Hình thức thanh toán: Tiền mặt hoặc chuyển khoản theo thông tin tài khoản của Bên B nêu trong hợp đồng.</w:t>
      </w:r>
    </w:p>
    <w:p>
      <w:pPr>
        <w:spacing w:after="80" w:line="276" w:lineRule="auto"/>
      </w:pPr>
      <w:r>
        <w:rPr>
          <w:rFonts w:ascii="Times New Roman" w:hAnsi="Times New Roman" w:eastAsia="Times New Roman"/>
          <w:b/>
          <w:i w:val="0"/>
          <w:sz w:val="26"/>
        </w:rPr>
        <w:t>ĐIỀU 4. TRÁCH NHIỆM CỦA BÊN B</w:t>
      </w:r>
    </w:p>
    <w:p>
      <w:pPr>
        <w:spacing w:after="80" w:line="276" w:lineRule="auto"/>
        <w:ind w:firstLine="567"/>
      </w:pPr>
      <w:r>
        <w:rPr>
          <w:rFonts w:ascii="Times New Roman" w:hAnsi="Times New Roman" w:eastAsia="Times New Roman"/>
          <w:b w:val="0"/>
          <w:i w:val="0"/>
          <w:sz w:val="26"/>
        </w:rPr>
        <w:t>- Cung cấp thiết bị mới 100%, đúng chủng loại, đúng cấu hình đã thỏa thuận.</w:t>
      </w:r>
    </w:p>
    <w:p>
      <w:pPr>
        <w:spacing w:after="80" w:line="276" w:lineRule="auto"/>
        <w:ind w:firstLine="567"/>
      </w:pPr>
      <w:r>
        <w:rPr>
          <w:rFonts w:ascii="Times New Roman" w:hAnsi="Times New Roman" w:eastAsia="Times New Roman"/>
          <w:b w:val="0"/>
          <w:i w:val="0"/>
          <w:sz w:val="26"/>
        </w:rPr>
        <w:t>- Khảo sát, tư vấn kỹ thuật, cung cấp bản vẽ và phối hợp cùng Bên A trong quá trình triển khai.</w:t>
      </w:r>
    </w:p>
    <w:p>
      <w:pPr>
        <w:spacing w:after="80" w:line="276" w:lineRule="auto"/>
        <w:ind w:firstLine="567"/>
      </w:pPr>
      <w:r>
        <w:rPr>
          <w:rFonts w:ascii="Times New Roman" w:hAnsi="Times New Roman" w:eastAsia="Times New Roman"/>
          <w:b w:val="0"/>
          <w:i w:val="0"/>
          <w:sz w:val="26"/>
        </w:rPr>
        <w:t>- Vận chuyển, lắp đặt, căn chỉnh, chạy thử, kiểm định và bàn giao đưa vào sử dụng.</w:t>
      </w:r>
    </w:p>
    <w:p>
      <w:pPr>
        <w:spacing w:after="80" w:line="276" w:lineRule="auto"/>
        <w:ind w:firstLine="567"/>
      </w:pPr>
      <w:r>
        <w:rPr>
          <w:rFonts w:ascii="Times New Roman" w:hAnsi="Times New Roman" w:eastAsia="Times New Roman"/>
          <w:b w:val="0"/>
          <w:i w:val="0"/>
          <w:sz w:val="26"/>
        </w:rPr>
        <w:t>- Hướng dẫn sử dụng, cứu hộ cơ bản và bảo hành theo quy định của hợp đồng.</w:t>
      </w:r>
    </w:p>
    <w:p>
      <w:pPr>
        <w:spacing w:after="80" w:line="276" w:lineRule="auto"/>
      </w:pPr>
      <w:r>
        <w:rPr>
          <w:rFonts w:ascii="Times New Roman" w:hAnsi="Times New Roman" w:eastAsia="Times New Roman"/>
          <w:b/>
          <w:i w:val="0"/>
          <w:sz w:val="26"/>
        </w:rPr>
        <w:t>ĐIỀU 5. TRÁCH NHIỆM CỦA BÊN A</w:t>
      </w:r>
    </w:p>
    <w:p>
      <w:pPr>
        <w:spacing w:after="80" w:line="276" w:lineRule="auto"/>
        <w:ind w:firstLine="567"/>
      </w:pPr>
      <w:r>
        <w:rPr>
          <w:rFonts w:ascii="Times New Roman" w:hAnsi="Times New Roman" w:eastAsia="Times New Roman"/>
          <w:b w:val="0"/>
          <w:i w:val="0"/>
          <w:sz w:val="26"/>
        </w:rPr>
        <w:t>- Thanh toán đúng tiến độ theo Điều 3 của hợp đồng.</w:t>
      </w:r>
    </w:p>
    <w:p>
      <w:pPr>
        <w:spacing w:after="80" w:line="276" w:lineRule="auto"/>
        <w:ind w:firstLine="567"/>
      </w:pPr>
      <w:r>
        <w:rPr>
          <w:rFonts w:ascii="Times New Roman" w:hAnsi="Times New Roman" w:eastAsia="Times New Roman"/>
          <w:b w:val="0"/>
          <w:i w:val="0"/>
          <w:sz w:val="26"/>
        </w:rPr>
        <w:t>- Bàn giao mặt bằng, hố thang và các điều kiện thi công theo yêu cầu kỹ thuật của Bên B.</w:t>
      </w:r>
    </w:p>
    <w:p>
      <w:pPr>
        <w:spacing w:after="80" w:line="276" w:lineRule="auto"/>
        <w:ind w:firstLine="567"/>
      </w:pPr>
      <w:r>
        <w:rPr>
          <w:rFonts w:ascii="Times New Roman" w:hAnsi="Times New Roman" w:eastAsia="Times New Roman"/>
          <w:b w:val="0"/>
          <w:i w:val="0"/>
          <w:sz w:val="26"/>
        </w:rPr>
        <w:t>- Cung cấp nguồn điện, kho chứa vật tư và các điều kiện cần thiết để Bên B thi công.</w:t>
      </w:r>
    </w:p>
    <w:p>
      <w:pPr>
        <w:spacing w:after="80" w:line="276" w:lineRule="auto"/>
        <w:ind w:firstLine="567"/>
      </w:pPr>
      <w:r>
        <w:rPr>
          <w:rFonts w:ascii="Times New Roman" w:hAnsi="Times New Roman" w:eastAsia="Times New Roman"/>
          <w:b w:val="0"/>
          <w:i w:val="0"/>
          <w:sz w:val="26"/>
        </w:rPr>
        <w:t>- Phối hợp nghiệm thu, bàn giao khi công trình hoàn thành.</w:t>
      </w:r>
    </w:p>
    <w:p>
      <w:pPr>
        <w:spacing w:after="80" w:line="276" w:lineRule="auto"/>
      </w:pPr>
      <w:r>
        <w:rPr>
          <w:rFonts w:ascii="Times New Roman" w:hAnsi="Times New Roman" w:eastAsia="Times New Roman"/>
          <w:b/>
          <w:i w:val="0"/>
          <w:sz w:val="26"/>
        </w:rPr>
        <w:t>ĐIỀU 6. BẢO HÀNH VÀ BẢO TRÌ</w:t>
      </w:r>
    </w:p>
    <w:p>
      <w:pPr>
        <w:spacing w:after="80" w:line="276" w:lineRule="auto"/>
        <w:ind w:firstLine="567"/>
      </w:pPr>
      <w:r>
        <w:rPr>
          <w:rFonts w:ascii="Times New Roman" w:hAnsi="Times New Roman" w:eastAsia="Times New Roman"/>
          <w:b w:val="0"/>
          <w:i w:val="0"/>
          <w:sz w:val="26"/>
        </w:rPr>
        <w:t>Thời gian bảo hành miễn phí là 24 tháng kể từ ngày nghiệm thu, bàn giao đưa vào sử dụng.</w:t>
      </w:r>
    </w:p>
    <w:p>
      <w:pPr>
        <w:spacing w:after="80" w:line="276" w:lineRule="auto"/>
        <w:ind w:firstLine="567"/>
      </w:pPr>
      <w:r>
        <w:rPr>
          <w:rFonts w:ascii="Times New Roman" w:hAnsi="Times New Roman" w:eastAsia="Times New Roman"/>
          <w:b w:val="0"/>
          <w:i w:val="0"/>
          <w:sz w:val="26"/>
        </w:rPr>
        <w:t>Trong thời gian bảo hành, Bên B chịu trách nhiệm sửa chữa các lỗi kỹ thuật do thiết bị hoặc do lắp đặt của Bên B.</w:t>
      </w:r>
    </w:p>
    <w:p>
      <w:pPr>
        <w:spacing w:after="80" w:line="276" w:lineRule="auto"/>
        <w:ind w:firstLine="567"/>
      </w:pPr>
      <w:r>
        <w:rPr>
          <w:rFonts w:ascii="Times New Roman" w:hAnsi="Times New Roman" w:eastAsia="Times New Roman"/>
          <w:b w:val="0"/>
          <w:i w:val="0"/>
          <w:sz w:val="26"/>
        </w:rPr>
        <w:t>Các trường hợp hư hỏng do lỗi sử dụng sai quy định, nguồn điện không ổn định hoặc tác động từ bên thứ ba không thuộc phạm vi bảo hành miễn phí.</w:t>
      </w:r>
    </w:p>
    <w:p>
      <w:pPr>
        <w:spacing w:after="80" w:line="276" w:lineRule="auto"/>
      </w:pPr>
      <w:r>
        <w:rPr>
          <w:rFonts w:ascii="Times New Roman" w:hAnsi="Times New Roman" w:eastAsia="Times New Roman"/>
          <w:b/>
          <w:i w:val="0"/>
          <w:sz w:val="26"/>
        </w:rPr>
        <w:t>ĐIỀU 7. ĐIỀU KHOẢN CHUNG</w:t>
      </w:r>
    </w:p>
    <w:p>
      <w:pPr>
        <w:spacing w:after="80" w:line="276" w:lineRule="auto"/>
        <w:ind w:firstLine="567"/>
      </w:pPr>
      <w:r>
        <w:rPr>
          <w:rFonts w:ascii="Times New Roman" w:hAnsi="Times New Roman" w:eastAsia="Times New Roman"/>
          <w:b w:val="0"/>
          <w:i w:val="0"/>
          <w:sz w:val="26"/>
        </w:rPr>
        <w:t>Mọi sửa đổi, bổ sung hợp đồng phải được hai bên thống nhất bằng văn bản và là phần không tách rời của hợp đồng này.</w:t>
      </w:r>
    </w:p>
    <w:p>
      <w:pPr>
        <w:spacing w:after="80" w:line="276" w:lineRule="auto"/>
        <w:ind w:firstLine="567"/>
      </w:pPr>
      <w:r>
        <w:rPr>
          <w:rFonts w:ascii="Times New Roman" w:hAnsi="Times New Roman" w:eastAsia="Times New Roman"/>
          <w:b w:val="0"/>
          <w:i w:val="0"/>
          <w:sz w:val="26"/>
        </w:rPr>
        <w:t>Trong quá trình thực hiện, nếu phát sinh tranh chấp, hai bên ưu tiên giải quyết bằng thương lượng; trường hợp không đạt được thỏa thuận thì đưa ra cơ quan có thẩm quyền theo quy định pháp luật.</w:t>
      </w:r>
    </w:p>
    <w:p>
      <w:pPr>
        <w:spacing w:after="80" w:line="276" w:lineRule="auto"/>
        <w:ind w:firstLine="567"/>
      </w:pPr>
      <w:r>
        <w:rPr>
          <w:rFonts w:ascii="Times New Roman" w:hAnsi="Times New Roman" w:eastAsia="Times New Roman"/>
          <w:b w:val="0"/>
          <w:i w:val="0"/>
          <w:sz w:val="26"/>
        </w:rPr>
        <w:t>Hợp đồng có hiệu lực kể từ ngày ký và được lập thành 02 bản có giá trị pháp lý như nhau, mỗi bên giữ 01 bản.</w:t>
      </w:r>
    </w:p>
    <w:p/>
    <w:tbl>
      <w:tblPr>
        <w:tblW w:type="auto" w:w="0"/>
        <w:tblLayout w:type="autofit"/>
        <w:tblLook w:firstColumn="1" w:firstRow="1" w:lastColumn="0" w:lastRow="0" w:noHBand="0" w:noVBand="1" w:val="04A0"/>
      </w:tblPr>
      <w:tblGrid>
        <w:gridCol w:w="4844"/>
        <w:gridCol w:w="4844"/>
      </w:tblGrid>
      <w:tr>
        <w:tc>
          <w:tcPr>
            <w:tcW w:type="dxa" w:w="4844"/>
            <w:tcBorders>
              <w:top w:val="single" w:sz="4" w:space="0" w:color="auto"/>
              <w:left w:val="single" w:sz="4" w:space="0" w:color="auto"/>
              <w:bottom w:val="single" w:sz="4" w:space="0" w:color="auto"/>
              <w:right w:val="single" w:sz="4" w:space="0" w:color="auto"/>
            </w:tcBorders>
          </w:tcPr>
          <w:p>
            <w:r>
              <w:rPr>
                <w:rFonts w:ascii="Times New Roman" w:hAnsi="Times New Roman" w:eastAsia="Times New Roman"/>
                <w:b/>
                <w:i w:val="0"/>
                <w:sz w:val="26"/>
              </w:rPr>
              <w:t>ĐẠI DIỆN BÊN A</w:t>
            </w:r>
          </w:p>
        </w:tc>
        <w:tc>
          <w:tcPr>
            <w:tcW w:type="dxa" w:w="4844"/>
            <w:tcBorders>
              <w:top w:val="single" w:sz="4" w:space="0" w:color="auto"/>
              <w:left w:val="single" w:sz="4" w:space="0" w:color="auto"/>
              <w:bottom w:val="single" w:sz="4" w:space="0" w:color="auto"/>
              <w:right w:val="single" w:sz="4" w:space="0" w:color="auto"/>
            </w:tcBorders>
          </w:tcPr>
          <w:p>
            <w:r>
              <w:rPr>
                <w:rFonts w:ascii="Times New Roman" w:hAnsi="Times New Roman" w:eastAsia="Times New Roman"/>
                <w:b/>
                <w:i w:val="0"/>
                <w:sz w:val="26"/>
              </w:rPr>
              <w:t>ĐẠI DIỆN BÊN B</w:t>
            </w:r>
          </w:p>
        </w:tc>
      </w:tr>
      <w:tr>
        <w:tc>
          <w:tcPr>
            <w:tcW w:type="dxa" w:w="4844"/>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eastAsia="Times New Roman"/>
                <w:b w:val="0"/>
                <w:i w:val="0"/>
                <w:sz w:val="26"/>
              </w:rPr>
              <w:br/>
              <w:br/>
              <w:br/>
              <w:t>(Ký, ghi rõ họ tên)</w:t>
            </w:r>
          </w:p>
        </w:tc>
        <w:tc>
          <w:tcPr>
            <w:tcW w:type="dxa" w:w="4844"/>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eastAsia="Times New Roman"/>
                <w:b w:val="0"/>
                <w:i w:val="0"/>
                <w:sz w:val="26"/>
              </w:rPr>
              <w:br/>
              <w:br/>
              <w:br/>
              <w:t>NGUYỄN VĂN TUÂN</w:t>
              <w:br/>
              <w:t>Giám đốc</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