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r>
        <w:drawing>
          <wp:inline xmlns:a="http://schemas.openxmlformats.org/drawingml/2006/main" xmlns:pic="http://schemas.openxmlformats.org/drawingml/2006/picture">
            <wp:extent cx="4140000" cy="5175000"/>
            <wp:docPr id="722306954" name="Picture 72230695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40000" cy="5175000"/>
                    </a:xfrm>
                    <a:prstGeom prst="rect"/>
                  </pic:spPr>
                </pic:pic>
              </a:graphicData>
            </a:graphic>
          </wp:inline>
        </w:drawing>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 xml:space="preserve">Đơn giá </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 xml:space="preserve">Thành tiền </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r>
              <w:t xml:space="preserve">Bộ </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Trần carbin </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 , xen kính cường lực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Tay vịn trong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br/>
              <w:br/>
              <w:br/>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Sàn lát trong carbin </w:t>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br/>
              <w:t>Hai cánh đóng mở tự động từ tim sang hai bên, và được điều kiển theo cửa phòng thang. Cửa chỉ được mở khi thang dừng đúng tầng.</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Sử lý thông minh, điều khiển nhiều lệnh đồng thời cùng một lúc. Sử lý tín hiệu ưu tiên theo chiều lên xuống , có thể xóa lệnh gọi thừa trong carbin </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r>
              <w:br/>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Bộ truyền cửa tầng </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 xml:space="preserve">Bộ cứu hộ tự động </w:t>
              <w:br/>
              <w:t>(Automatic Rescue Device)</w:t>
              <w:b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tab/>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