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&amp; THIẾT KẾ</w:t>
      </w:r>
    </w:p>
    <w:p>
      <w:pPr>
        <w:jc w:val="center"/>
      </w:pPr>
      <w:r>
        <w:t>RikkeiCare Emergency – Giao thuốc cấp cứu hỏa tốc trong 15 phút</w:t>
      </w:r>
    </w:p>
    <w:p>
      <w:pPr>
        <w:pStyle w:val="Heading1"/>
      </w:pPr>
      <w:r>
        <w:t>1. Stakeholder trọng yếu &amp; Ma trận Quyền lực – Quan tâm</w:t>
      </w:r>
    </w:p>
    <w:p>
      <w:r>
        <w:t>Trong tình huống tài xế đã đến địa chỉ bệnh nhân nhưng không thể liên lạc, ba nhóm tác nhân trực tiếp có vai trò và mức độ ảnh hưởng khác nhau. Việc phân loại dưới đây dựa trên quyền ra quyết định đối với đơn cấp cứu và mức độ quan tâm trực tiếp đến kết quả cứu trợ.</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t>Stakeholder</w:t>
            </w:r>
          </w:p>
        </w:tc>
        <w:tc>
          <w:tcPr>
            <w:tcW w:type="dxa" w:w="2493"/>
          </w:tcPr>
          <w:p>
            <w:r>
              <w:t>Quyền lực</w:t>
            </w:r>
          </w:p>
        </w:tc>
        <w:tc>
          <w:tcPr>
            <w:tcW w:type="dxa" w:w="2493"/>
          </w:tcPr>
          <w:p>
            <w:r>
              <w:t>Quan tâm</w:t>
            </w:r>
          </w:p>
        </w:tc>
        <w:tc>
          <w:tcPr>
            <w:tcW w:type="dxa" w:w="2493"/>
          </w:tcPr>
          <w:p>
            <w:r>
              <w:t>Ô trong Ma trận &amp; Lập luận</w:t>
            </w:r>
          </w:p>
        </w:tc>
      </w:tr>
      <w:tr>
        <w:tc>
          <w:tcPr>
            <w:tcW w:type="dxa" w:w="2493"/>
            <w:vAlign w:val="center"/>
          </w:tcPr>
          <w:p>
            <w:r>
              <w:t>Điều phối viên RikkeiCare Emergency</w:t>
            </w:r>
          </w:p>
        </w:tc>
        <w:tc>
          <w:tcPr>
            <w:tcW w:type="dxa" w:w="2493"/>
            <w:vAlign w:val="center"/>
          </w:tcPr>
          <w:p>
            <w:r>
              <w:t>Cao</w:t>
            </w:r>
          </w:p>
        </w:tc>
        <w:tc>
          <w:tcPr>
            <w:tcW w:type="dxa" w:w="2493"/>
            <w:vAlign w:val="center"/>
          </w:tcPr>
          <w:p>
            <w:r>
              <w:t>Cao</w:t>
            </w:r>
          </w:p>
        </w:tc>
        <w:tc>
          <w:tcPr>
            <w:tcW w:type="dxa" w:w="2493"/>
            <w:vAlign w:val="center"/>
          </w:tcPr>
          <w:p>
            <w:r>
              <w:t>Quyền lực cao – Quan tâm cao. Có quyền theo dõi toàn bộ đơn, kích hoạt quy trình chuyển cấp, điều phối tài xế/đơn vị hỗ trợ và quyết định hướng xử lý khi hết thời gian chờ.</w:t>
            </w:r>
          </w:p>
        </w:tc>
      </w:tr>
      <w:tr>
        <w:tc>
          <w:tcPr>
            <w:tcW w:type="dxa" w:w="2493"/>
            <w:vAlign w:val="center"/>
          </w:tcPr>
          <w:p>
            <w:r>
              <w:t>Tài xế giao thuốc cấp cứu</w:t>
            </w:r>
          </w:p>
        </w:tc>
        <w:tc>
          <w:tcPr>
            <w:tcW w:type="dxa" w:w="2493"/>
            <w:vAlign w:val="center"/>
          </w:tcPr>
          <w:p>
            <w:r>
              <w:t>Thấp</w:t>
            </w:r>
          </w:p>
        </w:tc>
        <w:tc>
          <w:tcPr>
            <w:tcW w:type="dxa" w:w="2493"/>
            <w:vAlign w:val="center"/>
          </w:tcPr>
          <w:p>
            <w:r>
              <w:t>Cao</w:t>
            </w:r>
          </w:p>
        </w:tc>
        <w:tc>
          <w:tcPr>
            <w:tcW w:type="dxa" w:w="2493"/>
            <w:vAlign w:val="center"/>
          </w:tcPr>
          <w:p>
            <w:r>
              <w:t>Quyền lực thấp – Quan tâm cao. Có mặt trực tiếp tại hiện trường và là người thực hiện giao thuốc, nhưng không được tự ý hủy hoặc thay đổi phương án xử lý một ca cấp cứu.</w:t>
            </w:r>
          </w:p>
        </w:tc>
      </w:tr>
      <w:tr>
        <w:tc>
          <w:tcPr>
            <w:tcW w:type="dxa" w:w="2493"/>
            <w:vAlign w:val="center"/>
          </w:tcPr>
          <w:p>
            <w:r>
              <w:t>Bệnh nhân / người nhận thuốc hoặc người nhà tại địa chỉ</w:t>
            </w:r>
          </w:p>
        </w:tc>
        <w:tc>
          <w:tcPr>
            <w:tcW w:type="dxa" w:w="2493"/>
            <w:vAlign w:val="center"/>
          </w:tcPr>
          <w:p>
            <w:r>
              <w:t>Thấp</w:t>
            </w:r>
          </w:p>
        </w:tc>
        <w:tc>
          <w:tcPr>
            <w:tcW w:type="dxa" w:w="2493"/>
            <w:vAlign w:val="center"/>
          </w:tcPr>
          <w:p>
            <w:r>
              <w:t>Cao</w:t>
            </w:r>
          </w:p>
        </w:tc>
        <w:tc>
          <w:tcPr>
            <w:tcW w:type="dxa" w:w="2493"/>
            <w:vAlign w:val="center"/>
          </w:tcPr>
          <w:p>
            <w:r>
              <w:t>Quyền lực thấp – Quan tâm cao. Là đối tượng chịu ảnh hưởng trực tiếp nhất vì thuốc cần được tiếp cận bệnh nhân; trong tình huống bất tỉnh có thể không đủ khả năng phản hồi hệ thống.</w:t>
            </w:r>
          </w:p>
        </w:tc>
      </w:tr>
    </w:tbl>
    <w:p/>
    <w:p>
      <w:pPr>
        <w:pStyle w:val="Heading2"/>
      </w:pPr>
      <w:r>
        <w:t>Ma trận Quyền lực – Quan tâm</w:t>
      </w:r>
    </w:p>
    <w:tbl>
      <w:tblPr>
        <w:tblStyle w:val="TableGrid"/>
        <w:tblW w:type="auto" w:w="0"/>
        <w:tblLook w:firstColumn="1" w:firstRow="1" w:lastColumn="0" w:lastRow="0" w:noHBand="0" w:noVBand="1" w:val="04A0"/>
      </w:tblPr>
      <w:tblGrid>
        <w:gridCol w:w="3324"/>
        <w:gridCol w:w="3324"/>
        <w:gridCol w:w="3324"/>
      </w:tblGrid>
      <w:tr>
        <w:tc>
          <w:tcPr>
            <w:tcW w:type="dxa" w:w="3324"/>
          </w:tcPr>
          <w:p>
            <w:r/>
          </w:p>
        </w:tc>
        <w:tc>
          <w:tcPr>
            <w:tcW w:type="dxa" w:w="3324"/>
          </w:tcPr>
          <w:p>
            <w:r>
              <w:t>Quan tâm thấp</w:t>
            </w:r>
          </w:p>
        </w:tc>
        <w:tc>
          <w:tcPr>
            <w:tcW w:type="dxa" w:w="3324"/>
          </w:tcPr>
          <w:p>
            <w:r>
              <w:t>Quan tâm cao</w:t>
            </w:r>
          </w:p>
        </w:tc>
      </w:tr>
      <w:tr>
        <w:tc>
          <w:tcPr>
            <w:tcW w:type="dxa" w:w="3324"/>
          </w:tcPr>
          <w:p>
            <w:r>
              <w:t>Quyền lực cao</w:t>
            </w:r>
          </w:p>
        </w:tc>
        <w:tc>
          <w:tcPr>
            <w:tcW w:type="dxa" w:w="3324"/>
          </w:tcPr>
          <w:p>
            <w:r>
              <w:t>Theo dõi tối thiểu</w:t>
            </w:r>
          </w:p>
        </w:tc>
        <w:tc>
          <w:tcPr>
            <w:tcW w:type="dxa" w:w="3324"/>
          </w:tcPr>
          <w:p>
            <w:r>
              <w:t>ĐIỀU PHỐI VIÊN</w:t>
              <w:br/>
              <w:t>Quản lý sát sao</w:t>
            </w:r>
          </w:p>
        </w:tc>
      </w:tr>
      <w:tr>
        <w:tc>
          <w:tcPr>
            <w:tcW w:type="dxa" w:w="3324"/>
          </w:tcPr>
          <w:p>
            <w:r>
              <w:t>Quyền lực thấp</w:t>
            </w:r>
          </w:p>
        </w:tc>
        <w:tc>
          <w:tcPr>
            <w:tcW w:type="dxa" w:w="3324"/>
          </w:tcPr>
          <w:p>
            <w:r>
              <w:t>Theo dõi tối thiểu</w:t>
            </w:r>
          </w:p>
        </w:tc>
        <w:tc>
          <w:tcPr>
            <w:tcW w:type="dxa" w:w="3324"/>
          </w:tcPr>
          <w:p>
            <w:r>
              <w:t>TÀI XẾ + BỆNH NHÂN/NGƯỜI NHÀ</w:t>
              <w:br/>
              <w:t>Hỗ trợ và cập nhật liên tục</w:t>
            </w:r>
          </w:p>
        </w:tc>
      </w:tr>
    </w:tbl>
    <w:p>
      <w:pPr>
        <w:pStyle w:val="Heading1"/>
      </w:pPr>
      <w:r>
        <w:t>2. Cơ chế Ứng phó Unreachable Timeout Trap</w:t>
      </w:r>
    </w:p>
    <w:p>
      <w:r>
        <w:t>Khi tài xế đến đúng địa chỉ nhưng không nhận được phản hồi, hệ thống chuyển đơn sang trạng thái "Đã đến – Không thể liên lạc" và bắt đầu một bộ đếm thời gian chờ có giới hạn thay vì để tài xế tự quyết định. Trong thời gian này, hệ thống đồng thời gửi cảnh báo ưu tiên cao cho điều phối viên và kích hoạt các kênh liên lạc dự phòng đã được bệnh nhân/người nhà đăng ký, đồng thời yêu cầu tài xế thực hiện các bước xác minh an toàn tại hiện trường theo checklist. Nếu hết thời gian chờ mà vẫn không có phản hồi, hệ thống tự động chuyển cấp ca cho điều phối viên để quyết định phương án cứu trợ tiếp theo, đồng thời khóa thao tác hủy đơn của tài xế nhằm tránh việc tự ý mang thuốc về và tạo log toàn bộ quá trình.</w:t>
      </w:r>
    </w:p>
    <w:p>
      <w:pPr>
        <w:pStyle w:val="Heading1"/>
      </w:pPr>
      <w:r>
        <w:t>3. Luồng Escalation Process đề xuất</w:t>
      </w:r>
    </w:p>
    <w:tbl>
      <w:tblPr>
        <w:tblStyle w:val="TableGrid"/>
        <w:tblW w:type="auto" w:w="0"/>
        <w:tblLook w:firstColumn="1" w:firstRow="1" w:lastColumn="0" w:lastRow="0" w:noHBand="0" w:noVBand="1" w:val="04A0"/>
      </w:tblPr>
      <w:tblGrid>
        <w:gridCol w:w="4986"/>
        <w:gridCol w:w="4986"/>
      </w:tblGrid>
      <w:tr>
        <w:tc>
          <w:tcPr>
            <w:tcW w:type="dxa" w:w="4986"/>
          </w:tcPr>
          <w:p>
            <w:r>
              <w:t>Giai đoạn</w:t>
            </w:r>
          </w:p>
        </w:tc>
        <w:tc>
          <w:tcPr>
            <w:tcW w:type="dxa" w:w="4986"/>
          </w:tcPr>
          <w:p>
            <w:r>
              <w:t>Cơ chế xử lý</w:t>
            </w:r>
          </w:p>
        </w:tc>
      </w:tr>
      <w:tr>
        <w:tc>
          <w:tcPr>
            <w:tcW w:type="dxa" w:w="4986"/>
          </w:tcPr>
          <w:p>
            <w:r>
              <w:t>Bước 1 – Xác nhận đến nơi</w:t>
            </w:r>
          </w:p>
        </w:tc>
        <w:tc>
          <w:tcPr>
            <w:tcW w:type="dxa" w:w="4986"/>
          </w:tcPr>
          <w:p>
            <w:r>
              <w:t>Tài xế bấm "Đã đến địa chỉ"; hệ thống ghi nhận GPS/thời điểm và chuyển đơn sang trạng thái chờ phản hồi.</w:t>
            </w:r>
          </w:p>
        </w:tc>
      </w:tr>
      <w:tr>
        <w:tc>
          <w:tcPr>
            <w:tcW w:type="dxa" w:w="4986"/>
          </w:tcPr>
          <w:p>
            <w:r>
              <w:t>Bước 2 – Kích hoạt Timeout</w:t>
            </w:r>
          </w:p>
        </w:tc>
        <w:tc>
          <w:tcPr>
            <w:tcW w:type="dxa" w:w="4986"/>
          </w:tcPr>
          <w:p>
            <w:r>
              <w:t>Bộ đếm thời gian chờ được khởi tạo tự động; tài xế thực hiện gọi điện/bấm chuông và checklist xác minh.</w:t>
            </w:r>
          </w:p>
        </w:tc>
      </w:tr>
      <w:tr>
        <w:tc>
          <w:tcPr>
            <w:tcW w:type="dxa" w:w="4986"/>
          </w:tcPr>
          <w:p>
            <w:r>
              <w:t>Bước 3 – Chuyển cấp sớm</w:t>
            </w:r>
          </w:p>
        </w:tc>
        <w:tc>
          <w:tcPr>
            <w:tcW w:type="dxa" w:w="4986"/>
          </w:tcPr>
          <w:p>
            <w:r>
              <w:t>Nếu không có phản hồi sau mốc cảnh báo, hệ thống báo động cho điều phối viên và gửi thông báo đến liên hệ dự phòng.</w:t>
            </w:r>
          </w:p>
        </w:tc>
      </w:tr>
      <w:tr>
        <w:tc>
          <w:tcPr>
            <w:tcW w:type="dxa" w:w="4986"/>
          </w:tcPr>
          <w:p>
            <w:r>
              <w:t>Bước 4 – Hết Timeout</w:t>
            </w:r>
          </w:p>
        </w:tc>
        <w:tc>
          <w:tcPr>
            <w:tcW w:type="dxa" w:w="4986"/>
          </w:tcPr>
          <w:p>
            <w:r>
              <w:t>Khi hết thời gian chờ, hệ thống tự động khóa trạng thái chờ và chuyển ca sang hàng đợi Escalation ưu tiên cao; tài xế không được tự ý hủy.</w:t>
            </w:r>
          </w:p>
        </w:tc>
      </w:tr>
      <w:tr>
        <w:tc>
          <w:tcPr>
            <w:tcW w:type="dxa" w:w="4986"/>
          </w:tcPr>
          <w:p>
            <w:r>
              <w:t>Bước 5 – Quyết định xử lý</w:t>
            </w:r>
          </w:p>
        </w:tc>
        <w:tc>
          <w:tcPr>
            <w:tcW w:type="dxa" w:w="4986"/>
          </w:tcPr>
          <w:p>
            <w:r>
              <w:t>Điều phối viên xác minh tình huống và kích hoạt phương án phù hợp theo quy trình khẩn cấp của RikkeiCare; mọi quyết định được ghi log.</w:t>
            </w:r>
          </w:p>
        </w:tc>
      </w:tr>
    </w:tbl>
    <w:p>
      <w:pPr>
        <w:pStyle w:val="Heading1"/>
      </w:pPr>
      <w:r>
        <w:t>4. Yêu cầu Chức năng (FR)</w:t>
      </w:r>
    </w:p>
    <w:p>
      <w:r>
        <w:rPr>
          <w:b/>
        </w:rPr>
        <w:t xml:space="preserve">FR-01 – Escalation khi không thể liên lạc: </w:t>
      </w:r>
      <w:r>
        <w:t>Khi tài xế xác nhận đã đến địa chỉ nhưng người nhận không phản hồi, hệ thống phải tự động chuyển đơn sang trạng thái "Unreachable", khởi tạo bộ đếm Timeout, gửi cảnh báo đến điều phối viên và liên hệ dự phòng; khi Timeout kết thúc, hệ thống phải tự động chuyển đơn sang hàng đợi Escalation ưu tiên cao và không cho phép tài xế tự ý hủy đơn.</w:t>
      </w:r>
    </w:p>
    <w:p>
      <w:pPr>
        <w:pStyle w:val="Heading1"/>
      </w:pPr>
      <w:r>
        <w:t>5. Yêu cầu Phi chức năng (NFR)</w:t>
      </w:r>
    </w:p>
    <w:p>
      <w:r>
        <w:rPr>
          <w:b/>
        </w:rPr>
        <w:t xml:space="preserve">NFR-01 – Độ tin cậy vận hành: </w:t>
      </w:r>
      <w:r>
        <w:t>Trong tối thiểu 99,9% các trường hợp tài xế kích hoạt trạng thái "Unreachable", hệ thống phải tạo Timeout và phát cảnh báo Escalation thành công trong không quá 5 giây; trong bài kiểm thử 10.000 ca mô phỏng, không được có quá 10 ca mất sự kiện hoặc không chuyển cấp tự động.</w:t>
      </w:r>
    </w:p>
    <w:p>
      <w:pPr>
        <w:pStyle w:val="Heading1"/>
      </w:pPr>
      <w:r>
        <w:t>6. User Story</w:t>
      </w:r>
    </w:p>
    <w:p>
      <w:r>
        <w:rPr>
          <w:b/>
        </w:rPr>
        <w:t xml:space="preserve">Là một [Điều phối viên RikkeiCare Emergency], </w:t>
      </w:r>
      <w:r>
        <w:t xml:space="preserve">Tôi muốn [nhận cảnh báo và tiếp nhận tự động các đơn cấp cứu không thể liên lạc sau khi Timeout kết thúc], </w:t>
      </w:r>
      <w:r>
        <w:t>Để đạt được [mục tiêu duy trì chuỗi cứu trợ, không để tài xế chờ vô thời hạn và giảm nguy cơ bệnh nhân không được tiếp cận thuốc kịp thời].</w:t>
      </w:r>
    </w:p>
    <w:p>
      <w:pPr>
        <w:pStyle w:val="Heading1"/>
      </w:pPr>
      <w:r>
        <w:t>7. Phân biệt FR và NFR</w:t>
      </w:r>
    </w:p>
    <w:tbl>
      <w:tblPr>
        <w:tblStyle w:val="TableGrid"/>
        <w:tblW w:type="auto" w:w="0"/>
        <w:tblLook w:firstColumn="1" w:firstRow="1" w:lastColumn="0" w:lastRow="0" w:noHBand="0" w:noVBand="1" w:val="04A0"/>
      </w:tblPr>
      <w:tblGrid>
        <w:gridCol w:w="3324"/>
        <w:gridCol w:w="3324"/>
        <w:gridCol w:w="3324"/>
      </w:tblGrid>
      <w:tr>
        <w:tc>
          <w:tcPr>
            <w:tcW w:type="dxa" w:w="3324"/>
          </w:tcPr>
          <w:p>
            <w:r>
              <w:t>Loại</w:t>
            </w:r>
          </w:p>
        </w:tc>
        <w:tc>
          <w:tcPr>
            <w:tcW w:type="dxa" w:w="3324"/>
          </w:tcPr>
          <w:p>
            <w:r>
              <w:t>Nội dung</w:t>
            </w:r>
          </w:p>
        </w:tc>
        <w:tc>
          <w:tcPr>
            <w:tcW w:type="dxa" w:w="3324"/>
          </w:tcPr>
          <w:p>
            <w:r>
              <w:t>Ý nghĩa</w:t>
            </w:r>
          </w:p>
        </w:tc>
      </w:tr>
      <w:tr>
        <w:tc>
          <w:tcPr>
            <w:tcW w:type="dxa" w:w="3324"/>
          </w:tcPr>
          <w:p>
            <w:r>
              <w:t>FR</w:t>
            </w:r>
          </w:p>
        </w:tc>
        <w:tc>
          <w:tcPr>
            <w:tcW w:type="dxa" w:w="3324"/>
          </w:tcPr>
          <w:p>
            <w:r>
              <w:t>Hệ thống tạo Timeout, cảnh báo và tự động chuyển cấp đơn Unreachable.</w:t>
            </w:r>
          </w:p>
        </w:tc>
        <w:tc>
          <w:tcPr>
            <w:tcW w:type="dxa" w:w="3324"/>
          </w:tcPr>
          <w:p>
            <w:r>
              <w:t>Mô tả hệ thống phải làm gì.</w:t>
            </w:r>
          </w:p>
        </w:tc>
      </w:tr>
      <w:tr>
        <w:tc>
          <w:tcPr>
            <w:tcW w:type="dxa" w:w="3324"/>
          </w:tcPr>
          <w:p>
            <w:r>
              <w:t>NFR</w:t>
            </w:r>
          </w:p>
        </w:tc>
        <w:tc>
          <w:tcPr>
            <w:tcW w:type="dxa" w:w="3324"/>
          </w:tcPr>
          <w:p>
            <w:r>
              <w:t>99,9% sự kiện phải được xử lý thành công; cảnh báo trong &lt;= 5 giây; tối đa 10/10.000 ca lỗi.</w:t>
            </w:r>
          </w:p>
        </w:tc>
        <w:tc>
          <w:tcPr>
            <w:tcW w:type="dxa" w:w="3324"/>
          </w:tcPr>
          <w:p>
            <w:r>
              <w:t>Mô tả mức độ tin cậy và khả năng vận hành của chức năng.</w:t>
            </w:r>
          </w:p>
        </w:tc>
      </w:tr>
    </w:tbl>
    <w:p>
      <w:pPr>
        <w:pStyle w:val="Heading1"/>
      </w:pPr>
      <w:r>
        <w:t>8. Kết luận</w:t>
      </w:r>
    </w:p>
    <w:p>
      <w:r>
        <w:t>Giải pháp trọng tâm của RikkeiCare Emergency là không để tài xế tự quyết định trong tình huống không thể liên lạc. Hệ thống phải biến tình huống này thành một quy trình có trạng thái, Timeout, cảnh báo và Escalation rõ ràng. Cách thiết kế này vừa bảo vệ cam kết 15 phút, vừa tránh việc tài xế phải chờ vô thời hạn hoặc tự ý hủy đơn, đồng thời tạo dữ liệu log để điều phối viên có thể kiểm tra và cải tiến quy trình sau mỗi ca.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