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RIKKEI LOGISTICS EXPRESS – SEQUENCE DIAGRAM</w:t>
      </w:r>
    </w:p>
    <w:p>
      <w:r>
        <w:rPr>
          <w:b/>
        </w:rPr>
        <w:t>Phần 1: Danh sách các đối tượng tham gia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pPr>
              <w:jc w:val="center"/>
            </w:pPr>
            <w:r>
              <w:rPr>
                <w:rFonts w:ascii="Times New Roman" w:hAnsi="Times New Roman"/>
                <w:sz w:val="21"/>
              </w:rPr>
              <w:t>STT</w:t>
            </w:r>
          </w:p>
        </w:tc>
        <w:tc>
          <w:tcPr>
            <w:tcW w:type="dxa" w:w="3312"/>
            <w:vAlign w:val="center"/>
          </w:tcPr>
          <w:p>
            <w:pPr>
              <w:jc w:val="center"/>
            </w:pPr>
            <w:r>
              <w:rPr>
                <w:rFonts w:ascii="Times New Roman" w:hAnsi="Times New Roman"/>
                <w:sz w:val="21"/>
              </w:rPr>
              <w:t>Đối tượng</w:t>
            </w:r>
          </w:p>
        </w:tc>
        <w:tc>
          <w:tcPr>
            <w:tcW w:type="dxa" w:w="3312"/>
            <w:vAlign w:val="center"/>
          </w:tcPr>
          <w:p>
            <w:pPr>
              <w:jc w:val="center"/>
            </w:pPr>
            <w:r>
              <w:rPr>
                <w:rFonts w:ascii="Times New Roman" w:hAnsi="Times New Roman"/>
                <w:sz w:val="21"/>
              </w:rPr>
              <w:t>Vai trò</w:t>
            </w:r>
          </w:p>
        </w:tc>
      </w:tr>
      <w:tr>
        <w:tc>
          <w:tcPr>
            <w:tcW w:type="dxa" w:w="3312"/>
            <w:vAlign w:val="center"/>
          </w:tcPr>
          <w:p>
            <w:pPr>
              <w:jc w:val="center"/>
            </w:pPr>
            <w:r>
              <w:rPr>
                <w:rFonts w:ascii="Times New Roman" w:hAnsi="Times New Roman"/>
                <w:sz w:val="21"/>
              </w:rPr>
              <w:t>1</w:t>
            </w:r>
          </w:p>
        </w:tc>
        <w:tc>
          <w:tcPr>
            <w:tcW w:type="dxa" w:w="3312"/>
            <w:vAlign w:val="center"/>
          </w:tcPr>
          <w:p>
            <w:pPr>
              <w:jc w:val="center"/>
            </w:pPr>
            <w:r>
              <w:rPr>
                <w:rFonts w:ascii="Times New Roman" w:hAnsi="Times New Roman"/>
                <w:sz w:val="21"/>
              </w:rPr>
              <w:t>NguoiGui</w:t>
            </w:r>
          </w:p>
        </w:tc>
        <w:tc>
          <w:tcPr>
            <w:tcW w:type="dxa" w:w="3312"/>
            <w:vAlign w:val="center"/>
          </w:tcPr>
          <w:p>
            <w:pPr>
              <w:jc w:val="center"/>
            </w:pPr>
            <w:r>
              <w:rPr>
                <w:rFonts w:ascii="Times New Roman" w:hAnsi="Times New Roman"/>
                <w:sz w:val="21"/>
              </w:rPr>
              <w:t>Người tạo/xác nhận đơn giao hỏa tốc.</w:t>
            </w:r>
          </w:p>
        </w:tc>
      </w:tr>
      <w:tr>
        <w:tc>
          <w:tcPr>
            <w:tcW w:type="dxa" w:w="3312"/>
            <w:vAlign w:val="center"/>
          </w:tcPr>
          <w:p>
            <w:pPr>
              <w:jc w:val="center"/>
            </w:pPr>
            <w:r>
              <w:rPr>
                <w:rFonts w:ascii="Times New Roman" w:hAnsi="Times New Roman"/>
                <w:sz w:val="21"/>
              </w:rPr>
              <w:t>2</w:t>
            </w:r>
          </w:p>
        </w:tc>
        <w:tc>
          <w:tcPr>
            <w:tcW w:type="dxa" w:w="3312"/>
            <w:vAlign w:val="center"/>
          </w:tcPr>
          <w:p>
            <w:pPr>
              <w:jc w:val="center"/>
            </w:pPr>
            <w:r>
              <w:rPr>
                <w:rFonts w:ascii="Times New Roman" w:hAnsi="Times New Roman"/>
                <w:sz w:val="21"/>
              </w:rPr>
              <w:t>OrderService</w:t>
            </w:r>
          </w:p>
        </w:tc>
        <w:tc>
          <w:tcPr>
            <w:tcW w:type="dxa" w:w="3312"/>
            <w:vAlign w:val="center"/>
          </w:tcPr>
          <w:p>
            <w:pPr>
              <w:jc w:val="center"/>
            </w:pPr>
            <w:r>
              <w:rPr>
                <w:rFonts w:ascii="Times New Roman" w:hAnsi="Times New Roman"/>
                <w:sz w:val="21"/>
              </w:rPr>
              <w:t>Xác nhận đơn và khởi động quy trình tìm tài xế.</w:t>
            </w:r>
          </w:p>
        </w:tc>
      </w:tr>
      <w:tr>
        <w:tc>
          <w:tcPr>
            <w:tcW w:type="dxa" w:w="3312"/>
            <w:vAlign w:val="center"/>
          </w:tcPr>
          <w:p>
            <w:pPr>
              <w:jc w:val="center"/>
            </w:pPr>
            <w:r>
              <w:rPr>
                <w:rFonts w:ascii="Times New Roman" w:hAnsi="Times New Roman"/>
                <w:sz w:val="21"/>
              </w:rPr>
              <w:t>3</w:t>
            </w:r>
          </w:p>
        </w:tc>
        <w:tc>
          <w:tcPr>
            <w:tcW w:type="dxa" w:w="3312"/>
            <w:vAlign w:val="center"/>
          </w:tcPr>
          <w:p>
            <w:pPr>
              <w:jc w:val="center"/>
            </w:pPr>
            <w:r>
              <w:rPr>
                <w:rFonts w:ascii="Times New Roman" w:hAnsi="Times New Roman"/>
                <w:sz w:val="21"/>
              </w:rPr>
              <w:t>DispatchService</w:t>
            </w:r>
          </w:p>
        </w:tc>
        <w:tc>
          <w:tcPr>
            <w:tcW w:type="dxa" w:w="3312"/>
            <w:vAlign w:val="center"/>
          </w:tcPr>
          <w:p>
            <w:pPr>
              <w:jc w:val="center"/>
            </w:pPr>
            <w:r>
              <w:rPr>
                <w:rFonts w:ascii="Times New Roman" w:hAnsi="Times New Roman"/>
                <w:sz w:val="21"/>
              </w:rPr>
              <w:t>Điều phối, chọn tài xế và xử lý đồng ý/từ chối/timeout.</w:t>
            </w:r>
          </w:p>
        </w:tc>
      </w:tr>
      <w:tr>
        <w:tc>
          <w:tcPr>
            <w:tcW w:type="dxa" w:w="3312"/>
            <w:vAlign w:val="center"/>
          </w:tcPr>
          <w:p>
            <w:pPr>
              <w:jc w:val="center"/>
            </w:pPr>
            <w:r>
              <w:rPr>
                <w:rFonts w:ascii="Times New Roman" w:hAnsi="Times New Roman"/>
                <w:sz w:val="21"/>
              </w:rPr>
              <w:t>4</w:t>
            </w:r>
          </w:p>
        </w:tc>
        <w:tc>
          <w:tcPr>
            <w:tcW w:type="dxa" w:w="3312"/>
            <w:vAlign w:val="center"/>
          </w:tcPr>
          <w:p>
            <w:pPr>
              <w:jc w:val="center"/>
            </w:pPr>
            <w:r>
              <w:rPr>
                <w:rFonts w:ascii="Times New Roman" w:hAnsi="Times New Roman"/>
                <w:sz w:val="21"/>
              </w:rPr>
              <w:t>NotificationService</w:t>
            </w:r>
          </w:p>
        </w:tc>
        <w:tc>
          <w:tcPr>
            <w:tcW w:type="dxa" w:w="3312"/>
            <w:vAlign w:val="center"/>
          </w:tcPr>
          <w:p>
            <w:pPr>
              <w:jc w:val="center"/>
            </w:pPr>
            <w:r>
              <w:rPr>
                <w:rFonts w:ascii="Times New Roman" w:hAnsi="Times New Roman"/>
                <w:sz w:val="21"/>
              </w:rPr>
              <w:t>Gửi thông báo bất đồng bộ tới tài xế.</w:t>
            </w:r>
          </w:p>
        </w:tc>
      </w:tr>
      <w:tr>
        <w:tc>
          <w:tcPr>
            <w:tcW w:type="dxa" w:w="3312"/>
            <w:vAlign w:val="center"/>
          </w:tcPr>
          <w:p>
            <w:pPr>
              <w:jc w:val="center"/>
            </w:pPr>
            <w:r>
              <w:rPr>
                <w:rFonts w:ascii="Times New Roman" w:hAnsi="Times New Roman"/>
                <w:sz w:val="21"/>
              </w:rPr>
              <w:t>5</w:t>
            </w:r>
          </w:p>
        </w:tc>
        <w:tc>
          <w:tcPr>
            <w:tcW w:type="dxa" w:w="3312"/>
            <w:vAlign w:val="center"/>
          </w:tcPr>
          <w:p>
            <w:pPr>
              <w:jc w:val="center"/>
            </w:pPr>
            <w:r>
              <w:rPr>
                <w:rFonts w:ascii="Times New Roman" w:hAnsi="Times New Roman"/>
                <w:sz w:val="21"/>
              </w:rPr>
              <w:t>TaiXe</w:t>
            </w:r>
          </w:p>
        </w:tc>
        <w:tc>
          <w:tcPr>
            <w:tcW w:type="dxa" w:w="3312"/>
            <w:vAlign w:val="center"/>
          </w:tcPr>
          <w:p>
            <w:pPr>
              <w:jc w:val="center"/>
            </w:pPr>
            <w:r>
              <w:rPr>
                <w:rFonts w:ascii="Times New Roman" w:hAnsi="Times New Roman"/>
                <w:sz w:val="21"/>
              </w:rPr>
              <w:t>Nhận lời mời và đồng ý, từ chối hoặc không phản hồi.</w:t>
            </w:r>
          </w:p>
        </w:tc>
      </w:tr>
    </w:tbl>
    <w:p>
      <w:r>
        <w:rPr>
          <w:b/>
        </w:rPr>
        <w:t>Phần 2: Luồng xử lý và loại thông điệp</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Bước</w:t>
            </w:r>
          </w:p>
        </w:tc>
        <w:tc>
          <w:tcPr>
            <w:tcW w:type="dxa" w:w="2484"/>
          </w:tcPr>
          <w:p>
            <w:r>
              <w:t>Luồng</w:t>
            </w:r>
          </w:p>
        </w:tc>
        <w:tc>
          <w:tcPr>
            <w:tcW w:type="dxa" w:w="2484"/>
          </w:tcPr>
          <w:p>
            <w:r>
              <w:t>Thông điệp</w:t>
            </w:r>
          </w:p>
        </w:tc>
        <w:tc>
          <w:tcPr>
            <w:tcW w:type="dxa" w:w="2484"/>
          </w:tcPr>
          <w:p>
            <w:r>
              <w:t>Loại</w:t>
            </w:r>
          </w:p>
        </w:tc>
      </w:tr>
      <w:tr>
        <w:tc>
          <w:tcPr>
            <w:tcW w:type="dxa" w:w="2484"/>
          </w:tcPr>
          <w:p>
            <w:r>
              <w:t>1</w:t>
            </w:r>
          </w:p>
        </w:tc>
        <w:tc>
          <w:tcPr>
            <w:tcW w:type="dxa" w:w="2484"/>
          </w:tcPr>
          <w:p>
            <w:r>
              <w:t>NguoiGui → OrderService</w:t>
            </w:r>
          </w:p>
        </w:tc>
        <w:tc>
          <w:tcPr>
            <w:tcW w:type="dxa" w:w="2484"/>
          </w:tcPr>
          <w:p>
            <w:r>
              <w:t>confirmExpressOrder(orderId)</w:t>
            </w:r>
          </w:p>
        </w:tc>
        <w:tc>
          <w:tcPr>
            <w:tcW w:type="dxa" w:w="2484"/>
          </w:tcPr>
          <w:p>
            <w:r>
              <w:t>Đồng bộ</w:t>
            </w:r>
          </w:p>
        </w:tc>
      </w:tr>
      <w:tr>
        <w:tc>
          <w:tcPr>
            <w:tcW w:type="dxa" w:w="2484"/>
          </w:tcPr>
          <w:p>
            <w:r>
              <w:t>2</w:t>
            </w:r>
          </w:p>
        </w:tc>
        <w:tc>
          <w:tcPr>
            <w:tcW w:type="dxa" w:w="2484"/>
          </w:tcPr>
          <w:p>
            <w:r>
              <w:t>OrderService → NguoiGui</w:t>
            </w:r>
          </w:p>
        </w:tc>
        <w:tc>
          <w:tcPr>
            <w:tcW w:type="dxa" w:w="2484"/>
          </w:tcPr>
          <w:p>
            <w:r>
              <w:t>orderConfirmed</w:t>
            </w:r>
          </w:p>
        </w:tc>
        <w:tc>
          <w:tcPr>
            <w:tcW w:type="dxa" w:w="2484"/>
          </w:tcPr>
          <w:p>
            <w:r>
              <w:t>Phản hồi</w:t>
            </w:r>
          </w:p>
        </w:tc>
      </w:tr>
      <w:tr>
        <w:tc>
          <w:tcPr>
            <w:tcW w:type="dxa" w:w="2484"/>
          </w:tcPr>
          <w:p>
            <w:r>
              <w:t>3</w:t>
            </w:r>
          </w:p>
        </w:tc>
        <w:tc>
          <w:tcPr>
            <w:tcW w:type="dxa" w:w="2484"/>
          </w:tcPr>
          <w:p>
            <w:r>
              <w:t>OrderService → DispatchService</w:t>
            </w:r>
          </w:p>
        </w:tc>
        <w:tc>
          <w:tcPr>
            <w:tcW w:type="dxa" w:w="2484"/>
          </w:tcPr>
          <w:p>
            <w:r>
              <w:t>requestDriverAssignment(orderId)</w:t>
            </w:r>
          </w:p>
        </w:tc>
        <w:tc>
          <w:tcPr>
            <w:tcW w:type="dxa" w:w="2484"/>
          </w:tcPr>
          <w:p>
            <w:r>
              <w:t>Bất đồng bộ</w:t>
            </w:r>
          </w:p>
        </w:tc>
      </w:tr>
      <w:tr>
        <w:tc>
          <w:tcPr>
            <w:tcW w:type="dxa" w:w="2484"/>
          </w:tcPr>
          <w:p>
            <w:r>
              <w:t>4</w:t>
            </w:r>
          </w:p>
        </w:tc>
        <w:tc>
          <w:tcPr>
            <w:tcW w:type="dxa" w:w="2484"/>
          </w:tcPr>
          <w:p>
            <w:r>
              <w:t>DispatchService → NotificationService</w:t>
            </w:r>
          </w:p>
        </w:tc>
        <w:tc>
          <w:tcPr>
            <w:tcW w:type="dxa" w:w="2484"/>
          </w:tcPr>
          <w:p>
            <w:r>
              <w:t>sendDriverOffer(driver, orderId)</w:t>
            </w:r>
          </w:p>
        </w:tc>
        <w:tc>
          <w:tcPr>
            <w:tcW w:type="dxa" w:w="2484"/>
          </w:tcPr>
          <w:p>
            <w:r>
              <w:t>Bất đồng bộ</w:t>
            </w:r>
          </w:p>
        </w:tc>
      </w:tr>
      <w:tr>
        <w:tc>
          <w:tcPr>
            <w:tcW w:type="dxa" w:w="2484"/>
          </w:tcPr>
          <w:p>
            <w:r>
              <w:t>5</w:t>
            </w:r>
          </w:p>
        </w:tc>
        <w:tc>
          <w:tcPr>
            <w:tcW w:type="dxa" w:w="2484"/>
          </w:tcPr>
          <w:p>
            <w:r>
              <w:t>NotificationService → TaiXe</w:t>
            </w:r>
          </w:p>
        </w:tc>
        <w:tc>
          <w:tcPr>
            <w:tcW w:type="dxa" w:w="2484"/>
          </w:tcPr>
          <w:p>
            <w:r>
              <w:t>newOrderOffer(orderId)</w:t>
            </w:r>
          </w:p>
        </w:tc>
        <w:tc>
          <w:tcPr>
            <w:tcW w:type="dxa" w:w="2484"/>
          </w:tcPr>
          <w:p>
            <w:r>
              <w:t>Bất đồng bộ</w:t>
            </w:r>
          </w:p>
        </w:tc>
      </w:tr>
      <w:tr>
        <w:tc>
          <w:tcPr>
            <w:tcW w:type="dxa" w:w="2484"/>
          </w:tcPr>
          <w:p>
            <w:r>
              <w:t>6</w:t>
            </w:r>
          </w:p>
        </w:tc>
        <w:tc>
          <w:tcPr>
            <w:tcW w:type="dxa" w:w="2484"/>
          </w:tcPr>
          <w:p>
            <w:r>
              <w:t>alt: TaiXe → DispatchService</w:t>
            </w:r>
          </w:p>
        </w:tc>
        <w:tc>
          <w:tcPr>
            <w:tcW w:type="dxa" w:w="2484"/>
          </w:tcPr>
          <w:p>
            <w:r>
              <w:t>acceptOrder(orderId) / rejectOrder(orderId)</w:t>
            </w:r>
          </w:p>
        </w:tc>
        <w:tc>
          <w:tcPr>
            <w:tcW w:type="dxa" w:w="2484"/>
          </w:tcPr>
          <w:p>
            <w:r>
              <w:t>Đồng bộ</w:t>
            </w:r>
          </w:p>
        </w:tc>
      </w:tr>
      <w:tr>
        <w:tc>
          <w:tcPr>
            <w:tcW w:type="dxa" w:w="2484"/>
          </w:tcPr>
          <w:p>
            <w:r>
              <w:t>7</w:t>
            </w:r>
          </w:p>
        </w:tc>
        <w:tc>
          <w:tcPr>
            <w:tcW w:type="dxa" w:w="2484"/>
          </w:tcPr>
          <w:p>
            <w:r>
              <w:t>alt: DispatchService → OrderService</w:t>
            </w:r>
          </w:p>
        </w:tc>
        <w:tc>
          <w:tcPr>
            <w:tcW w:type="dxa" w:w="2484"/>
          </w:tcPr>
          <w:p>
            <w:r>
              <w:t>driverAssigned(orderId)</w:t>
            </w:r>
          </w:p>
        </w:tc>
        <w:tc>
          <w:tcPr>
            <w:tcW w:type="dxa" w:w="2484"/>
          </w:tcPr>
          <w:p>
            <w:r>
              <w:t>Bất đồng bộ</w:t>
            </w:r>
          </w:p>
        </w:tc>
      </w:tr>
      <w:tr>
        <w:tc>
          <w:tcPr>
            <w:tcW w:type="dxa" w:w="2484"/>
          </w:tcPr>
          <w:p>
            <w:r>
              <w:t>8</w:t>
            </w:r>
          </w:p>
        </w:tc>
        <w:tc>
          <w:tcPr>
            <w:tcW w:type="dxa" w:w="2484"/>
          </w:tcPr>
          <w:p>
            <w:r>
              <w:t>else / timeout</w:t>
            </w:r>
          </w:p>
        </w:tc>
        <w:tc>
          <w:tcPr>
            <w:tcW w:type="dxa" w:w="2484"/>
          </w:tcPr>
          <w:p>
            <w:r>
              <w:t>findNextDriver(orderId)</w:t>
            </w:r>
          </w:p>
        </w:tc>
        <w:tc>
          <w:tcPr>
            <w:tcW w:type="dxa" w:w="2484"/>
          </w:tcPr>
          <w:p>
            <w:r>
              <w:t>Bất đồng bộ</w:t>
            </w:r>
          </w:p>
        </w:tc>
      </w:tr>
    </w:tbl>
    <w:p>
      <w:r>
        <w:rPr>
          <w:b/>
        </w:rPr>
        <w:t xml:space="preserve">Giải thích: </w:t>
      </w:r>
      <w:r>
        <w:t>Sau khi đơn được xác nhận, OrderService trả kết quả ngay cho Người gửi và không chờ tài xế. Việc điều phối tài xế được xử lý bất đồng bộ. Trong khối alt, tài xế có thể đồng ý hoặc từ chối. Nếu tài xế không phản hồi trong thời gian quy định, hệ thống xử lý timeout và tìm tài xế tiếp theo.</w:t>
      </w:r>
    </w:p>
    <w:p>
      <w:r>
        <w:rPr>
          <w:b/>
        </w:rPr>
        <w:t>Các nhánh alt/else:</w:t>
      </w:r>
    </w:p>
    <w:p>
      <w:r>
        <w:t>• [Tài xế đồng ý] → xác nhận nhận đơn và cập nhật đơn đã có tài xế.</w:t>
      </w:r>
    </w:p>
    <w:p>
      <w:r>
        <w:t>• else [Tài xế từ chối] → tìm tài xế phù hợp tiếp theo.</w:t>
      </w:r>
    </w:p>
    <w:p>
      <w:r>
        <w:t>• else [Timeout – không phản hồi] → xử lý timeout và tìm tài xế tiếp theo.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