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7FC85" w14:textId="77777777" w:rsidR="00AB2F6B" w:rsidRPr="001E2BA9" w:rsidRDefault="00000000">
      <w:pPr>
        <w:jc w:val="center"/>
        <w:rPr>
          <w:rFonts w:cs="Times New Roman"/>
        </w:rPr>
      </w:pPr>
      <w:r w:rsidRPr="001E2BA9">
        <w:rPr>
          <w:rFonts w:cs="Times New Roman"/>
          <w:b/>
          <w:sz w:val="36"/>
        </w:rPr>
        <w:t>PHÂN TÍCH CƠ CHẾ PHÒNG NGỪA LỖI</w:t>
      </w:r>
    </w:p>
    <w:p w14:paraId="072C4690" w14:textId="77777777" w:rsidR="00AB2F6B" w:rsidRPr="001E2BA9" w:rsidRDefault="00000000">
      <w:pPr>
        <w:pStyle w:val="Heading1"/>
        <w:rPr>
          <w:rFonts w:ascii="Times New Roman" w:hAnsi="Times New Roman" w:cs="Times New Roman"/>
          <w:color w:val="auto"/>
        </w:rPr>
      </w:pPr>
      <w:r w:rsidRPr="001E2BA9">
        <w:rPr>
          <w:rFonts w:ascii="Times New Roman" w:hAnsi="Times New Roman" w:cs="Times New Roman"/>
          <w:color w:val="auto"/>
        </w:rPr>
        <w:t>1. Bối cảnh và vấn đề</w:t>
      </w:r>
    </w:p>
    <w:p w14:paraId="489BAD52" w14:textId="77777777" w:rsidR="00AB2F6B" w:rsidRPr="001E2BA9" w:rsidRDefault="00000000">
      <w:pPr>
        <w:rPr>
          <w:rFonts w:cs="Times New Roman"/>
        </w:rPr>
      </w:pPr>
      <w:r w:rsidRPr="001E2BA9">
        <w:rPr>
          <w:rFonts w:cs="Times New Roman"/>
        </w:rPr>
        <w:t>Trên màn hình “Quản lý Đơn hàng” của RikkeiShop Seller Center, mỗi đơn ở trạng thái “Chờ xác nhận” có hai thao tác: “Xác nhận đơn” và “Hủy đơn hàng”. Khi hai nút có màu sắc, kích thước và mức độ nổi bật tương đương, đồng thời được đặt gần nhau, Seller phải phân biệt chúng trong lúc xử lý số lượng lớn đơn hàng. Điều này làm tăng nguy cơ bấm nhầm nút hủy, khiến một đơn hợp lệ bị hủy ngoài ý muốn, ảnh hưởng đến doanh thu, trải nghiệm khách hàng và uy tín gian hàng.</w:t>
      </w:r>
    </w:p>
    <w:p w14:paraId="175506AC" w14:textId="77777777" w:rsidR="00AB2F6B" w:rsidRPr="001E2BA9" w:rsidRDefault="00000000">
      <w:pPr>
        <w:rPr>
          <w:rFonts w:cs="Times New Roman"/>
        </w:rPr>
      </w:pPr>
      <w:r w:rsidRPr="001E2BA9">
        <w:rPr>
          <w:rFonts w:cs="Times New Roman"/>
        </w:rPr>
        <w:t>Giao diện cần áp dụng hai nguyên tắc: Error Prevention (phòng ngừa lỗi), nhằm giảm khả năng thao tác sai ngay từ đầu; và User Control (quyền kiểm soát của người dùng), giúp Seller xem lại, cân nhắc, chủ động xác nhận hoặc quay lại trước khi hệ thống thực hiện hành động nguy hiểm.</w:t>
      </w:r>
    </w:p>
    <w:p w14:paraId="33EDACD5" w14:textId="77777777" w:rsidR="00AB2F6B" w:rsidRPr="001E2BA9" w:rsidRDefault="00000000">
      <w:pPr>
        <w:pStyle w:val="Heading1"/>
        <w:rPr>
          <w:rFonts w:ascii="Times New Roman" w:hAnsi="Times New Roman" w:cs="Times New Roman"/>
          <w:color w:val="auto"/>
        </w:rPr>
      </w:pPr>
      <w:r w:rsidRPr="001E2BA9">
        <w:rPr>
          <w:rFonts w:ascii="Times New Roman" w:hAnsi="Times New Roman" w:cs="Times New Roman"/>
          <w:color w:val="auto"/>
        </w:rPr>
        <w:t>2. Phân tích cơ chế phòng ngừa lỗi</w:t>
      </w:r>
    </w:p>
    <w:p w14:paraId="400C31A2" w14:textId="77777777" w:rsidR="00AB2F6B" w:rsidRPr="001E2BA9" w:rsidRDefault="00000000">
      <w:pPr>
        <w:pStyle w:val="Heading2"/>
        <w:rPr>
          <w:rFonts w:ascii="Times New Roman" w:hAnsi="Times New Roman" w:cs="Times New Roman"/>
          <w:color w:val="auto"/>
        </w:rPr>
      </w:pPr>
      <w:r w:rsidRPr="001E2BA9">
        <w:rPr>
          <w:rFonts w:ascii="Times New Roman" w:hAnsi="Times New Roman" w:cs="Times New Roman"/>
          <w:color w:val="auto"/>
        </w:rPr>
        <w:t>2.1. Phân cấp hai nút thao tác</w:t>
      </w:r>
    </w:p>
    <w:p w14:paraId="2ED8EDEB" w14:textId="77777777" w:rsidR="00AB2F6B" w:rsidRPr="001E2BA9" w:rsidRDefault="00000000">
      <w:pPr>
        <w:rPr>
          <w:rFonts w:cs="Times New Roman"/>
        </w:rPr>
      </w:pPr>
      <w:r w:rsidRPr="001E2BA9">
        <w:rPr>
          <w:rFonts w:cs="Times New Roman"/>
        </w:rPr>
        <w:t>“Xác nhận đơn” là thao tác chính trong luồng xử lý thông thường của đơn hàng đang chờ xác nhận. Vì vậy, nút này cần được thiết kế theo kiểu Primary Button, sử dụng màu xanh nổi bật, nhãn rõ ràng và vị trí dễ nhận biết.</w:t>
      </w:r>
    </w:p>
    <w:p w14:paraId="532C1095" w14:textId="77777777" w:rsidR="00AB2F6B" w:rsidRPr="001E2BA9" w:rsidRDefault="00000000">
      <w:pPr>
        <w:rPr>
          <w:rFonts w:cs="Times New Roman"/>
        </w:rPr>
      </w:pPr>
      <w:r w:rsidRPr="001E2BA9">
        <w:rPr>
          <w:rFonts w:cs="Times New Roman"/>
        </w:rPr>
        <w:t>“Hủy đơn hàng” là thao tác có hậu quả đáng kể và có thể khó đảo ngược. Nút này cần được thiết kế thành Secondary/Text Button với màu trung tính, ít nổi bật hơn nút chính. Nhãn vẫn phải rõ ràng, vùng bấm đủ dùng, nhưng không nên có cùng mức độ nổi bật thị giác với nút “Xác nhận đơn”.</w:t>
      </w:r>
    </w:p>
    <w:p w14:paraId="5C851784" w14:textId="77777777" w:rsidR="00AB2F6B" w:rsidRPr="001E2BA9" w:rsidRDefault="00000000">
      <w:pPr>
        <w:rPr>
          <w:rFonts w:cs="Times New Roman"/>
        </w:rPr>
      </w:pPr>
      <w:r w:rsidRPr="001E2BA9">
        <w:rPr>
          <w:rFonts w:cs="Times New Roman"/>
        </w:rPr>
        <w:t>Sự phân cấp tạo ra thứ bậc thị giác: người dùng dễ nhận ra hành động thường dùng trước, trong khi hành động nguy hiểm không thu hút sự chú ý ngang bằng. Đây là biện pháp phòng ngừa lỗi ngay từ thiết kế, giúp giảm khả năng bấm nhầm khi thao tác nhanh hoặc xử lý nhiều đơn liên tục.</w:t>
      </w:r>
    </w:p>
    <w:p w14:paraId="78E418AA" w14:textId="77777777" w:rsidR="00AB2F6B" w:rsidRPr="001E2BA9" w:rsidRDefault="00000000">
      <w:pPr>
        <w:pStyle w:val="Heading2"/>
        <w:rPr>
          <w:rFonts w:ascii="Times New Roman" w:hAnsi="Times New Roman" w:cs="Times New Roman"/>
          <w:color w:val="auto"/>
        </w:rPr>
      </w:pPr>
      <w:r w:rsidRPr="001E2BA9">
        <w:rPr>
          <w:rFonts w:ascii="Times New Roman" w:hAnsi="Times New Roman" w:cs="Times New Roman"/>
          <w:color w:val="auto"/>
        </w:rPr>
        <w:t>2.2. Modal Window như một lớp xác nhận an toàn</w:t>
      </w:r>
    </w:p>
    <w:p w14:paraId="6193194F" w14:textId="77777777" w:rsidR="00AB2F6B" w:rsidRPr="001E2BA9" w:rsidRDefault="00000000">
      <w:pPr>
        <w:rPr>
          <w:rFonts w:cs="Times New Roman"/>
        </w:rPr>
      </w:pPr>
      <w:r w:rsidRPr="001E2BA9">
        <w:rPr>
          <w:rFonts w:cs="Times New Roman"/>
        </w:rPr>
        <w:t>Khi Seller bấm “Hủy đơn hàng”, hệ thống không hủy ngay mà mở Modal Window cảnh báo. Modal tạo một bước kiểm tra riêng, tách biệt với danh sách đơn hàng. Nội dung cần nêu rõ đơn hàng sắp bị hủy và hiển thị thông tin nhận diện đơn để Seller kiểm tra đúng đối tượng.</w:t>
      </w:r>
    </w:p>
    <w:p w14:paraId="633EC6BC" w14:textId="77777777" w:rsidR="00AB2F6B" w:rsidRPr="001E2BA9" w:rsidRDefault="00000000">
      <w:pPr>
        <w:rPr>
          <w:rFonts w:cs="Times New Roman"/>
        </w:rPr>
      </w:pPr>
      <w:r w:rsidRPr="001E2BA9">
        <w:rPr>
          <w:rFonts w:cs="Times New Roman"/>
        </w:rPr>
        <w:t>Modal phải có Dropdown List để Seller chọn lý do hủy. Trước khi có lý do hợp lệ, nút “Xác nhận hủy” màu đỏ ở trạng thái vô hiệu hóa (disabled). Chỉ sau khi Seller chọn một lý do, nút này mới được kích hoạt. Nhờ đó, người dùng không thể xác nhận hủy ngay lập tức mà chưa thực hiện bước lựa chọn lý do; đồng thời hệ thống có dữ liệu để ghi nhận nguyên nhân hủy.</w:t>
      </w:r>
    </w:p>
    <w:p w14:paraId="7A5B0EBB" w14:textId="77777777" w:rsidR="00AB2F6B" w:rsidRPr="001E2BA9" w:rsidRDefault="00000000">
      <w:pPr>
        <w:rPr>
          <w:rFonts w:cs="Times New Roman"/>
        </w:rPr>
      </w:pPr>
      <w:r w:rsidRPr="001E2BA9">
        <w:rPr>
          <w:rFonts w:cs="Times New Roman"/>
        </w:rPr>
        <w:t>Modal cần có nút “Quay lại” hoặc “Đóng” với kiểu trung tính để Seller dừng thao tác và trở về danh sách mà không làm thay đổi trạng thái đơn hàng. Nút đỏ phải có nhãn mô tả rõ hậu quả là “Xác nhận hủy”, tránh nhãn mơ hồ như “Đồng ý”.</w:t>
      </w:r>
    </w:p>
    <w:p w14:paraId="1251267B" w14:textId="77777777" w:rsidR="00AB2F6B" w:rsidRPr="001E2BA9" w:rsidRDefault="00000000">
      <w:pPr>
        <w:pStyle w:val="Heading2"/>
        <w:rPr>
          <w:rFonts w:ascii="Times New Roman" w:hAnsi="Times New Roman" w:cs="Times New Roman"/>
          <w:color w:val="auto"/>
        </w:rPr>
      </w:pPr>
      <w:r w:rsidRPr="001E2BA9">
        <w:rPr>
          <w:rFonts w:ascii="Times New Roman" w:hAnsi="Times New Roman" w:cs="Times New Roman"/>
          <w:color w:val="auto"/>
        </w:rPr>
        <w:t>2.3. Luồng tương tác đề xuất</w:t>
      </w:r>
    </w:p>
    <w:p w14:paraId="4E3DEA9D" w14:textId="77777777" w:rsidR="00AB2F6B" w:rsidRPr="001E2BA9" w:rsidRDefault="00000000">
      <w:pPr>
        <w:pStyle w:val="ListNumber"/>
        <w:rPr>
          <w:rFonts w:cs="Times New Roman"/>
        </w:rPr>
      </w:pPr>
      <w:r w:rsidRPr="001E2BA9">
        <w:rPr>
          <w:rFonts w:cs="Times New Roman"/>
          <w:b/>
        </w:rPr>
        <w:t>Seller nhấn “Hủy đơn hàng”.</w:t>
      </w:r>
      <w:r w:rsidRPr="001E2BA9">
        <w:rPr>
          <w:rFonts w:cs="Times New Roman"/>
        </w:rPr>
        <w:t xml:space="preserve"> Thao tác này chỉ mở Modal, chưa hủy đơn.</w:t>
      </w:r>
    </w:p>
    <w:p w14:paraId="385E7023" w14:textId="77777777" w:rsidR="00AB2F6B" w:rsidRPr="001E2BA9" w:rsidRDefault="00000000">
      <w:pPr>
        <w:pStyle w:val="ListNumber"/>
        <w:rPr>
          <w:rFonts w:cs="Times New Roman"/>
        </w:rPr>
      </w:pPr>
      <w:r w:rsidRPr="001E2BA9">
        <w:rPr>
          <w:rFonts w:cs="Times New Roman"/>
          <w:b/>
        </w:rPr>
        <w:t>Hệ thống hiển thị cảnh báo.</w:t>
      </w:r>
      <w:r w:rsidRPr="001E2BA9">
        <w:rPr>
          <w:rFonts w:cs="Times New Roman"/>
        </w:rPr>
        <w:t xml:space="preserve"> Modal nêu rõ đơn hàng sắp bị hủy và yêu cầu chọn lý do.</w:t>
      </w:r>
    </w:p>
    <w:p w14:paraId="1A00C629" w14:textId="77777777" w:rsidR="00AB2F6B" w:rsidRPr="001E2BA9" w:rsidRDefault="00000000">
      <w:pPr>
        <w:pStyle w:val="ListNumber"/>
        <w:rPr>
          <w:rFonts w:cs="Times New Roman"/>
        </w:rPr>
      </w:pPr>
      <w:r w:rsidRPr="001E2BA9">
        <w:rPr>
          <w:rFonts w:cs="Times New Roman"/>
          <w:b/>
        </w:rPr>
        <w:lastRenderedPageBreak/>
        <w:t>Seller chọn lý do trong Dropdown List.</w:t>
      </w:r>
      <w:r w:rsidRPr="001E2BA9">
        <w:rPr>
          <w:rFonts w:cs="Times New Roman"/>
        </w:rPr>
        <w:t xml:space="preserve"> Nếu chưa chọn lý do, nút “Xác nhận hủy” tiếp tục bị vô hiệu hóa.</w:t>
      </w:r>
    </w:p>
    <w:p w14:paraId="2ABEC566" w14:textId="77777777" w:rsidR="00AB2F6B" w:rsidRPr="001E2BA9" w:rsidRDefault="00000000">
      <w:pPr>
        <w:pStyle w:val="ListNumber"/>
        <w:rPr>
          <w:rFonts w:cs="Times New Roman"/>
        </w:rPr>
      </w:pPr>
      <w:r w:rsidRPr="001E2BA9">
        <w:rPr>
          <w:rFonts w:cs="Times New Roman"/>
          <w:b/>
        </w:rPr>
        <w:t>Seller đưa ra quyết định.</w:t>
      </w:r>
      <w:r w:rsidRPr="001E2BA9">
        <w:rPr>
          <w:rFonts w:cs="Times New Roman"/>
        </w:rPr>
        <w:t xml:space="preserve"> Có thể chọn “Quay lại/Đóng” để dừng, hoặc nhấn “Xác nhận hủy” màu đỏ khi nút đã được kích hoạt.</w:t>
      </w:r>
    </w:p>
    <w:p w14:paraId="73A79DDD" w14:textId="77777777" w:rsidR="00AB2F6B" w:rsidRPr="001E2BA9" w:rsidRDefault="00000000">
      <w:pPr>
        <w:pStyle w:val="ListNumber"/>
        <w:rPr>
          <w:rFonts w:cs="Times New Roman"/>
        </w:rPr>
      </w:pPr>
      <w:r w:rsidRPr="001E2BA9">
        <w:rPr>
          <w:rFonts w:cs="Times New Roman"/>
          <w:b/>
        </w:rPr>
        <w:t>Hệ thống hoàn tất việc hủy.</w:t>
      </w:r>
      <w:r w:rsidRPr="001E2BA9">
        <w:rPr>
          <w:rFonts w:cs="Times New Roman"/>
        </w:rPr>
        <w:t xml:space="preserve"> Chỉ sau xác nhận chủ động, hệ thống mới hủy đơn, lưu lý do và cập nhật trạng thái.</w:t>
      </w:r>
    </w:p>
    <w:p w14:paraId="00600FE4" w14:textId="77777777" w:rsidR="00AB2F6B" w:rsidRPr="001E2BA9" w:rsidRDefault="00000000">
      <w:pPr>
        <w:pStyle w:val="Heading2"/>
        <w:rPr>
          <w:rFonts w:ascii="Times New Roman" w:hAnsi="Times New Roman" w:cs="Times New Roman"/>
          <w:color w:val="auto"/>
        </w:rPr>
      </w:pPr>
      <w:r w:rsidRPr="001E2BA9">
        <w:rPr>
          <w:rFonts w:ascii="Times New Roman" w:hAnsi="Times New Roman" w:cs="Times New Roman"/>
          <w:color w:val="auto"/>
        </w:rPr>
        <w:t>2.4. Xử lý bẫy dữ liệu: bấm nhầm (Accidental Click)</w:t>
      </w:r>
    </w:p>
    <w:p w14:paraId="004E40D3" w14:textId="77777777" w:rsidR="00AB2F6B" w:rsidRPr="001E2BA9" w:rsidRDefault="00000000">
      <w:pPr>
        <w:rPr>
          <w:rFonts w:cs="Times New Roman"/>
        </w:rPr>
      </w:pPr>
      <w:r w:rsidRPr="001E2BA9">
        <w:rPr>
          <w:rFonts w:cs="Times New Roman"/>
        </w:rPr>
        <w:t>Nếu Seller vô tình bấm “Hủy đơn hàng” thay vì “Xác nhận đơn”, thao tác đầu tiên chỉ mở Modal chứ chưa làm thay đổi đơn hàng. Seller có thể đóng Modal để quay lại. Nếu tiếp tục, Seller vẫn phải chọn lý do hủy và chủ động nhấn nút xác nhận màu đỏ. Vì vậy, cú bấm nhầm ban đầu không trực tiếp dẫn đến việc hủy đơn.</w:t>
      </w:r>
    </w:p>
    <w:p w14:paraId="55198B76" w14:textId="77777777" w:rsidR="00AB2F6B" w:rsidRPr="001E2BA9" w:rsidRDefault="00000000">
      <w:pPr>
        <w:rPr>
          <w:rFonts w:cs="Times New Roman"/>
        </w:rPr>
      </w:pPr>
      <w:r w:rsidRPr="001E2BA9">
        <w:rPr>
          <w:rFonts w:cs="Times New Roman"/>
        </w:rPr>
        <w:t>Cơ chế bảo vệ gồm nhiều lớp: phân cấp nút để giảm nhầm lẫn; Modal tạo điểm dừng và cung cấp thông tin; Dropdown bắt buộc yêu cầu người dùng cân nhắc; nút xác nhận bị khóa cho đến khi có lý do; và lựa chọn quay lại giúp Seller giữ quyền kiểm soát. Các lớp này bổ trợ cho nhau, thay vì chỉ dựa vào một hộp thoại xác nhận đơn giản.</w:t>
      </w:r>
    </w:p>
    <w:p w14:paraId="5008078B" w14:textId="77777777" w:rsidR="00AB2F6B" w:rsidRPr="001E2BA9" w:rsidRDefault="00000000">
      <w:pPr>
        <w:pStyle w:val="Heading1"/>
        <w:rPr>
          <w:rFonts w:ascii="Times New Roman" w:hAnsi="Times New Roman" w:cs="Times New Roman"/>
          <w:color w:val="auto"/>
        </w:rPr>
      </w:pPr>
      <w:r w:rsidRPr="001E2BA9">
        <w:rPr>
          <w:rFonts w:ascii="Times New Roman" w:hAnsi="Times New Roman" w:cs="Times New Roman"/>
          <w:color w:val="auto"/>
        </w:rPr>
        <w:t>3. Đối chiếu yêu cầu và kết luận</w:t>
      </w:r>
    </w:p>
    <w:tbl>
      <w:tblPr>
        <w:tblStyle w:val="TableGrid"/>
        <w:tblW w:w="0" w:type="auto"/>
        <w:tblLook w:val="04A0" w:firstRow="1" w:lastRow="0" w:firstColumn="1" w:lastColumn="0" w:noHBand="0" w:noVBand="1"/>
      </w:tblPr>
      <w:tblGrid>
        <w:gridCol w:w="4824"/>
        <w:gridCol w:w="4824"/>
      </w:tblGrid>
      <w:tr w:rsidR="001E2BA9" w:rsidRPr="001E2BA9" w14:paraId="06D4CBE0" w14:textId="77777777" w:rsidTr="001E2BA9">
        <w:tc>
          <w:tcPr>
            <w:tcW w:w="4824" w:type="dxa"/>
          </w:tcPr>
          <w:p w14:paraId="5F1643F9" w14:textId="77777777" w:rsidR="00AB2F6B" w:rsidRPr="001E2BA9" w:rsidRDefault="00000000">
            <w:pPr>
              <w:spacing w:after="60"/>
              <w:rPr>
                <w:rFonts w:cs="Times New Roman"/>
              </w:rPr>
            </w:pPr>
            <w:r w:rsidRPr="001E2BA9">
              <w:rPr>
                <w:rFonts w:cs="Times New Roman"/>
                <w:b/>
                <w:sz w:val="21"/>
              </w:rPr>
              <w:t>Yêu cầu</w:t>
            </w:r>
          </w:p>
        </w:tc>
        <w:tc>
          <w:tcPr>
            <w:tcW w:w="4824" w:type="dxa"/>
          </w:tcPr>
          <w:p w14:paraId="743A978C" w14:textId="77777777" w:rsidR="00AB2F6B" w:rsidRPr="001E2BA9" w:rsidRDefault="00000000">
            <w:pPr>
              <w:spacing w:after="60"/>
              <w:rPr>
                <w:rFonts w:cs="Times New Roman"/>
              </w:rPr>
            </w:pPr>
            <w:r w:rsidRPr="001E2BA9">
              <w:rPr>
                <w:rFonts w:cs="Times New Roman"/>
                <w:b/>
                <w:sz w:val="21"/>
              </w:rPr>
              <w:t>Cách đáp ứng</w:t>
            </w:r>
          </w:p>
        </w:tc>
      </w:tr>
      <w:tr w:rsidR="001E2BA9" w:rsidRPr="001E2BA9" w14:paraId="1C7DB83B" w14:textId="77777777">
        <w:tc>
          <w:tcPr>
            <w:tcW w:w="4824" w:type="dxa"/>
          </w:tcPr>
          <w:p w14:paraId="2C9E0726" w14:textId="77777777" w:rsidR="00AB2F6B" w:rsidRPr="001E2BA9" w:rsidRDefault="00000000">
            <w:pPr>
              <w:spacing w:after="60"/>
              <w:rPr>
                <w:rFonts w:cs="Times New Roman"/>
              </w:rPr>
            </w:pPr>
            <w:r w:rsidRPr="001E2BA9">
              <w:rPr>
                <w:rFonts w:cs="Times New Roman"/>
                <w:sz w:val="21"/>
              </w:rPr>
              <w:t>“Xác nhận đơn” là hành động chính</w:t>
            </w:r>
          </w:p>
        </w:tc>
        <w:tc>
          <w:tcPr>
            <w:tcW w:w="4824" w:type="dxa"/>
          </w:tcPr>
          <w:p w14:paraId="45850E2D" w14:textId="77777777" w:rsidR="00AB2F6B" w:rsidRPr="001E2BA9" w:rsidRDefault="00000000">
            <w:pPr>
              <w:spacing w:after="60"/>
              <w:rPr>
                <w:rFonts w:cs="Times New Roman"/>
              </w:rPr>
            </w:pPr>
            <w:r w:rsidRPr="001E2BA9">
              <w:rPr>
                <w:rFonts w:cs="Times New Roman"/>
                <w:sz w:val="21"/>
              </w:rPr>
              <w:t>Primary Button màu xanh, nổi bật và dễ nhận biết.</w:t>
            </w:r>
          </w:p>
        </w:tc>
      </w:tr>
      <w:tr w:rsidR="001E2BA9" w:rsidRPr="001E2BA9" w14:paraId="20391DB6" w14:textId="77777777">
        <w:tc>
          <w:tcPr>
            <w:tcW w:w="4824" w:type="dxa"/>
          </w:tcPr>
          <w:p w14:paraId="1E1167C8" w14:textId="77777777" w:rsidR="00AB2F6B" w:rsidRPr="001E2BA9" w:rsidRDefault="00000000">
            <w:pPr>
              <w:spacing w:after="60"/>
              <w:rPr>
                <w:rFonts w:cs="Times New Roman"/>
              </w:rPr>
            </w:pPr>
            <w:r w:rsidRPr="001E2BA9">
              <w:rPr>
                <w:rFonts w:cs="Times New Roman"/>
                <w:sz w:val="21"/>
              </w:rPr>
              <w:t>“Hủy đơn hàng” là hành động phụ</w:t>
            </w:r>
          </w:p>
        </w:tc>
        <w:tc>
          <w:tcPr>
            <w:tcW w:w="4824" w:type="dxa"/>
          </w:tcPr>
          <w:p w14:paraId="1CC72DEA" w14:textId="77777777" w:rsidR="00AB2F6B" w:rsidRPr="001E2BA9" w:rsidRDefault="00000000">
            <w:pPr>
              <w:spacing w:after="60"/>
              <w:rPr>
                <w:rFonts w:cs="Times New Roman"/>
              </w:rPr>
            </w:pPr>
            <w:r w:rsidRPr="001E2BA9">
              <w:rPr>
                <w:rFonts w:cs="Times New Roman"/>
                <w:sz w:val="21"/>
              </w:rPr>
              <w:t>Secondary/Text Button màu trung tính, không ngang cấp thị giác với nút chính.</w:t>
            </w:r>
          </w:p>
        </w:tc>
      </w:tr>
      <w:tr w:rsidR="001E2BA9" w:rsidRPr="001E2BA9" w14:paraId="3D6C9FA1" w14:textId="77777777">
        <w:tc>
          <w:tcPr>
            <w:tcW w:w="4824" w:type="dxa"/>
          </w:tcPr>
          <w:p w14:paraId="4A358F55" w14:textId="77777777" w:rsidR="00AB2F6B" w:rsidRPr="001E2BA9" w:rsidRDefault="00000000">
            <w:pPr>
              <w:spacing w:after="60"/>
              <w:rPr>
                <w:rFonts w:cs="Times New Roman"/>
              </w:rPr>
            </w:pPr>
            <w:r w:rsidRPr="001E2BA9">
              <w:rPr>
                <w:rFonts w:cs="Times New Roman"/>
                <w:sz w:val="21"/>
              </w:rPr>
              <w:t>Bắt buộc xác nhận trước khi hủy</w:t>
            </w:r>
          </w:p>
        </w:tc>
        <w:tc>
          <w:tcPr>
            <w:tcW w:w="4824" w:type="dxa"/>
          </w:tcPr>
          <w:p w14:paraId="03C87CE9" w14:textId="77777777" w:rsidR="00AB2F6B" w:rsidRPr="001E2BA9" w:rsidRDefault="00000000">
            <w:pPr>
              <w:spacing w:after="60"/>
              <w:rPr>
                <w:rFonts w:cs="Times New Roman"/>
              </w:rPr>
            </w:pPr>
            <w:r w:rsidRPr="001E2BA9">
              <w:rPr>
                <w:rFonts w:cs="Times New Roman"/>
                <w:sz w:val="21"/>
              </w:rPr>
              <w:t>Nhấn nút hủy chỉ mở Modal; chưa thực hiện hủy.</w:t>
            </w:r>
          </w:p>
        </w:tc>
      </w:tr>
      <w:tr w:rsidR="001E2BA9" w:rsidRPr="001E2BA9" w14:paraId="4C05E9D1" w14:textId="77777777">
        <w:tc>
          <w:tcPr>
            <w:tcW w:w="4824" w:type="dxa"/>
          </w:tcPr>
          <w:p w14:paraId="0B34CB0B" w14:textId="77777777" w:rsidR="00AB2F6B" w:rsidRPr="001E2BA9" w:rsidRDefault="00000000">
            <w:pPr>
              <w:spacing w:after="60"/>
              <w:rPr>
                <w:rFonts w:cs="Times New Roman"/>
              </w:rPr>
            </w:pPr>
            <w:r w:rsidRPr="001E2BA9">
              <w:rPr>
                <w:rFonts w:cs="Times New Roman"/>
                <w:sz w:val="21"/>
              </w:rPr>
              <w:t>Bắt buộc chọn lý do</w:t>
            </w:r>
          </w:p>
        </w:tc>
        <w:tc>
          <w:tcPr>
            <w:tcW w:w="4824" w:type="dxa"/>
          </w:tcPr>
          <w:p w14:paraId="035E1986" w14:textId="77777777" w:rsidR="00AB2F6B" w:rsidRPr="001E2BA9" w:rsidRDefault="00000000">
            <w:pPr>
              <w:spacing w:after="60"/>
              <w:rPr>
                <w:rFonts w:cs="Times New Roman"/>
              </w:rPr>
            </w:pPr>
            <w:r w:rsidRPr="001E2BA9">
              <w:rPr>
                <w:rFonts w:cs="Times New Roman"/>
                <w:sz w:val="21"/>
              </w:rPr>
              <w:t>Dropdown List yêu cầu chọn lý do hủy.</w:t>
            </w:r>
          </w:p>
        </w:tc>
      </w:tr>
      <w:tr w:rsidR="001E2BA9" w:rsidRPr="001E2BA9" w14:paraId="3C6ABFA6" w14:textId="77777777">
        <w:tc>
          <w:tcPr>
            <w:tcW w:w="4824" w:type="dxa"/>
          </w:tcPr>
          <w:p w14:paraId="19E7E35A" w14:textId="77777777" w:rsidR="00AB2F6B" w:rsidRPr="001E2BA9" w:rsidRDefault="00000000">
            <w:pPr>
              <w:spacing w:after="60"/>
              <w:rPr>
                <w:rFonts w:cs="Times New Roman"/>
              </w:rPr>
            </w:pPr>
            <w:r w:rsidRPr="001E2BA9">
              <w:rPr>
                <w:rFonts w:cs="Times New Roman"/>
                <w:sz w:val="21"/>
              </w:rPr>
              <w:t>Chỉ kích hoạt xác nhận sau khi chọn lý do</w:t>
            </w:r>
          </w:p>
        </w:tc>
        <w:tc>
          <w:tcPr>
            <w:tcW w:w="4824" w:type="dxa"/>
          </w:tcPr>
          <w:p w14:paraId="7009A0CD" w14:textId="77777777" w:rsidR="00AB2F6B" w:rsidRPr="001E2BA9" w:rsidRDefault="00000000">
            <w:pPr>
              <w:spacing w:after="60"/>
              <w:rPr>
                <w:rFonts w:cs="Times New Roman"/>
              </w:rPr>
            </w:pPr>
            <w:r w:rsidRPr="001E2BA9">
              <w:rPr>
                <w:rFonts w:cs="Times New Roman"/>
                <w:sz w:val="21"/>
              </w:rPr>
              <w:t>Nút đỏ “Xác nhận hủy” bị vô hiệu hóa cho đến khi có lựa chọn hợp lệ.</w:t>
            </w:r>
          </w:p>
        </w:tc>
      </w:tr>
      <w:tr w:rsidR="001E2BA9" w:rsidRPr="001E2BA9" w14:paraId="50D76525" w14:textId="77777777">
        <w:tc>
          <w:tcPr>
            <w:tcW w:w="4824" w:type="dxa"/>
          </w:tcPr>
          <w:p w14:paraId="664721CA" w14:textId="77777777" w:rsidR="00AB2F6B" w:rsidRPr="001E2BA9" w:rsidRDefault="00000000">
            <w:pPr>
              <w:spacing w:after="60"/>
              <w:rPr>
                <w:rFonts w:cs="Times New Roman"/>
              </w:rPr>
            </w:pPr>
            <w:r w:rsidRPr="001E2BA9">
              <w:rPr>
                <w:rFonts w:cs="Times New Roman"/>
                <w:sz w:val="21"/>
              </w:rPr>
              <w:t>Cho phép người dùng đổi ý</w:t>
            </w:r>
          </w:p>
        </w:tc>
        <w:tc>
          <w:tcPr>
            <w:tcW w:w="4824" w:type="dxa"/>
          </w:tcPr>
          <w:p w14:paraId="51E81E18" w14:textId="77777777" w:rsidR="00AB2F6B" w:rsidRPr="001E2BA9" w:rsidRDefault="00000000">
            <w:pPr>
              <w:spacing w:after="60"/>
              <w:rPr>
                <w:rFonts w:cs="Times New Roman"/>
              </w:rPr>
            </w:pPr>
            <w:r w:rsidRPr="001E2BA9">
              <w:rPr>
                <w:rFonts w:cs="Times New Roman"/>
                <w:sz w:val="21"/>
              </w:rPr>
              <w:t>Nút “Quay lại/Đóng” thoát Modal mà không hủy đơn.</w:t>
            </w:r>
          </w:p>
        </w:tc>
      </w:tr>
    </w:tbl>
    <w:p w14:paraId="0CA2AF39" w14:textId="77777777" w:rsidR="001E2BA9" w:rsidRDefault="001E2BA9">
      <w:pPr>
        <w:rPr>
          <w:rFonts w:cs="Times New Roman"/>
        </w:rPr>
      </w:pPr>
    </w:p>
    <w:p w14:paraId="725021E4" w14:textId="2BFB54A8" w:rsidR="00AB2F6B" w:rsidRPr="001E2BA9" w:rsidRDefault="00000000">
      <w:pPr>
        <w:rPr>
          <w:rFonts w:cs="Times New Roman"/>
        </w:rPr>
      </w:pPr>
      <w:r w:rsidRPr="001E2BA9">
        <w:rPr>
          <w:rFonts w:cs="Times New Roman"/>
        </w:rPr>
        <w:t>Kết luận: Thiết kế kết hợp phân cấp nút và Modal xác nhận giúp phòng ngừa lỗi ngay từ giao diện, đồng thời duy trì quyền kiểm soát của Seller. Thao tác hủy chỉ được thực hiện sau khi người dùng kiểm tra, chọn lý do và xác nhận rõ ràng. Cơ chế này giảm nguy cơ hủy oan đơn hàng hợp lệ, hỗ trợ lưu vết nguyên nhân và góp phần bảo vệ doanh thu cũng như uy tín của gian hàng.</w:t>
      </w:r>
      <w:r w:rsidR="0071364F">
        <w:rPr>
          <w:rFonts w:cs="Times New Roman"/>
        </w:rPr>
        <w:br/>
      </w:r>
      <w:r w:rsidR="0071364F">
        <w:rPr>
          <w:rFonts w:cs="Times New Roman"/>
        </w:rPr>
        <w:br/>
      </w:r>
      <w:r w:rsidR="0071364F">
        <w:rPr>
          <w:rFonts w:cs="Times New Roman"/>
        </w:rPr>
        <w:br/>
        <w:t>link figma:</w:t>
      </w:r>
      <w:r w:rsidR="0071364F" w:rsidRPr="0071364F">
        <w:t xml:space="preserve"> </w:t>
      </w:r>
      <w:hyperlink r:id="rId8" w:history="1">
        <w:r w:rsidR="0071364F" w:rsidRPr="0071364F">
          <w:rPr>
            <w:rStyle w:val="Hyperlink"/>
            <w:rFonts w:cs="Times New Roman"/>
          </w:rPr>
          <w:t>https://www.fi</w:t>
        </w:r>
        <w:r w:rsidR="0071364F" w:rsidRPr="0071364F">
          <w:rPr>
            <w:rStyle w:val="Hyperlink"/>
            <w:rFonts w:cs="Times New Roman"/>
          </w:rPr>
          <w:t>g</w:t>
        </w:r>
        <w:r w:rsidR="0071364F" w:rsidRPr="0071364F">
          <w:rPr>
            <w:rStyle w:val="Hyperlink"/>
            <w:rFonts w:cs="Times New Roman"/>
          </w:rPr>
          <w:t>ma.com/design/374cvu35441Y11nYb8OEC2/Untitled?node-id=0-1&amp;t=s8lh4CyQDL7DYVAv-1</w:t>
        </w:r>
      </w:hyperlink>
    </w:p>
    <w:sectPr w:rsidR="00AB2F6B" w:rsidRPr="001E2BA9" w:rsidSect="00034616">
      <w:headerReference w:type="default" r:id="rId9"/>
      <w:footerReference w:type="default" r:id="rId10"/>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AA4B2" w14:textId="77777777" w:rsidR="00E029FD" w:rsidRDefault="00E029FD">
      <w:pPr>
        <w:spacing w:after="0" w:line="240" w:lineRule="auto"/>
      </w:pPr>
      <w:r>
        <w:separator/>
      </w:r>
    </w:p>
  </w:endnote>
  <w:endnote w:type="continuationSeparator" w:id="0">
    <w:p w14:paraId="77CD7EAB" w14:textId="77777777" w:rsidR="00E029FD" w:rsidRDefault="00E02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A05FE" w14:textId="7E442851" w:rsidR="00AB2F6B" w:rsidRDefault="00AB2F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C235D" w14:textId="77777777" w:rsidR="00E029FD" w:rsidRDefault="00E029FD">
      <w:pPr>
        <w:spacing w:after="0" w:line="240" w:lineRule="auto"/>
      </w:pPr>
      <w:r>
        <w:separator/>
      </w:r>
    </w:p>
  </w:footnote>
  <w:footnote w:type="continuationSeparator" w:id="0">
    <w:p w14:paraId="60A80537" w14:textId="77777777" w:rsidR="00E029FD" w:rsidRDefault="00E02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6901E" w14:textId="1D96AEF3" w:rsidR="00AB2F6B" w:rsidRDefault="00AB2F6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706684">
    <w:abstractNumId w:val="8"/>
  </w:num>
  <w:num w:numId="2" w16cid:durableId="1883320078">
    <w:abstractNumId w:val="6"/>
  </w:num>
  <w:num w:numId="3" w16cid:durableId="1361316881">
    <w:abstractNumId w:val="5"/>
  </w:num>
  <w:num w:numId="4" w16cid:durableId="944196011">
    <w:abstractNumId w:val="4"/>
  </w:num>
  <w:num w:numId="5" w16cid:durableId="73822548">
    <w:abstractNumId w:val="7"/>
  </w:num>
  <w:num w:numId="6" w16cid:durableId="1517309196">
    <w:abstractNumId w:val="3"/>
  </w:num>
  <w:num w:numId="7" w16cid:durableId="571425472">
    <w:abstractNumId w:val="2"/>
  </w:num>
  <w:num w:numId="8" w16cid:durableId="717633760">
    <w:abstractNumId w:val="1"/>
  </w:num>
  <w:num w:numId="9" w16cid:durableId="1723678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BA9"/>
    <w:rsid w:val="0029639D"/>
    <w:rsid w:val="00326F90"/>
    <w:rsid w:val="003C12E4"/>
    <w:rsid w:val="00601905"/>
    <w:rsid w:val="0071364F"/>
    <w:rsid w:val="00AA1D8D"/>
    <w:rsid w:val="00AB2F6B"/>
    <w:rsid w:val="00B47730"/>
    <w:rsid w:val="00CB0664"/>
    <w:rsid w:val="00E02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80FAA"/>
  <w14:defaultImageDpi w14:val="300"/>
  <w15:docId w15:val="{B2DF3207-079F-4960-9DCD-31A74B1E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364F"/>
    <w:rPr>
      <w:color w:val="0000FF" w:themeColor="hyperlink"/>
      <w:u w:val="single"/>
    </w:rPr>
  </w:style>
  <w:style w:type="character" w:styleId="UnresolvedMention">
    <w:name w:val="Unresolved Mention"/>
    <w:basedOn w:val="DefaultParagraphFont"/>
    <w:uiPriority w:val="99"/>
    <w:semiHidden/>
    <w:unhideWhenUsed/>
    <w:rsid w:val="0071364F"/>
    <w:rPr>
      <w:color w:val="605E5C"/>
      <w:shd w:val="clear" w:color="auto" w:fill="E1DFDD"/>
    </w:rPr>
  </w:style>
  <w:style w:type="character" w:styleId="FollowedHyperlink">
    <w:name w:val="FollowedHyperlink"/>
    <w:basedOn w:val="DefaultParagraphFont"/>
    <w:uiPriority w:val="99"/>
    <w:semiHidden/>
    <w:unhideWhenUsed/>
    <w:rsid w:val="007136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374cvu35441Y11nYb8OEC2/Untitled?node-id=0-1&amp;t=s8lh4CyQDL7DYVAv-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Tuấn Hưng</cp:lastModifiedBy>
  <cp:revision>3</cp:revision>
  <dcterms:created xsi:type="dcterms:W3CDTF">2013-12-23T23:15:00Z</dcterms:created>
  <dcterms:modified xsi:type="dcterms:W3CDTF">2026-09-28T01:00:00Z</dcterms:modified>
  <cp:category/>
</cp:coreProperties>
</file>