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THỐNG KÊ THEO NGÀY THỐNG KÊ THEO THÁNG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Trang Chủ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Vào Website Bán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w:anchor="gjdgxs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ff6600" w:val="clear"/>
            <w:rtl w:val="0"/>
          </w:rPr>
          <w:t xml:space="preserve">SẢN PHẨM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Thêm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Xóa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Sửa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ff6600" w:val="clear"/>
            <w:rtl w:val="0"/>
          </w:rPr>
          <w:t xml:space="preserve">THÀNH VIÊN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Thêm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Xóa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Sửa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ff6600" w:val="clear"/>
            <w:rtl w:val="0"/>
          </w:rPr>
          <w:t xml:space="preserve">ĐƠN HÀNG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Trạng Thái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ffffff"/>
            <w:sz w:val="24"/>
            <w:szCs w:val="24"/>
            <w:shd w:fill="ff6600" w:val="clear"/>
            <w:rtl w:val="0"/>
          </w:rPr>
          <w:t xml:space="preserve">THỐNG KÊ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Thống kê sản phẩm bán chạy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rFonts w:ascii="Arial" w:cs="Arial" w:eastAsia="Arial" w:hAnsi="Arial"/>
            <w:color w:val="000000"/>
            <w:sz w:val="32"/>
            <w:szCs w:val="32"/>
            <w:shd w:fill="f5f5f5" w:val="clear"/>
            <w:rtl w:val="0"/>
          </w:rPr>
          <w:t xml:space="preserve">Thống kê doanh thu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32"/>
          <w:szCs w:val="32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