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E850" w14:textId="4156D4EC" w:rsidR="00E35F84" w:rsidRPr="00E35F84" w:rsidRDefault="00E35F84" w:rsidP="00E35F84">
      <w:pPr>
        <w:pStyle w:val="Heading1"/>
        <w:rPr>
          <w:b/>
          <w:bCs/>
        </w:rPr>
      </w:pPr>
      <w:r>
        <w:t xml:space="preserve">Goal: </w:t>
      </w:r>
    </w:p>
    <w:p w14:paraId="0BFCD499" w14:textId="2867B80D" w:rsidR="00E35F84" w:rsidRPr="00E35F84" w:rsidRDefault="00E35F84" w:rsidP="00E35F84">
      <w:pPr>
        <w:rPr>
          <w:b/>
          <w:bCs/>
        </w:rPr>
      </w:pPr>
      <w:r w:rsidRPr="00E35F84">
        <w:rPr>
          <w:b/>
          <w:bCs/>
        </w:rPr>
        <w:t>Short-term</w:t>
      </w:r>
    </w:p>
    <w:p w14:paraId="371511D7" w14:textId="32B36797" w:rsidR="00E35F84" w:rsidRDefault="00E35F84" w:rsidP="00E35F84">
      <w:pPr>
        <w:pStyle w:val="ListParagraph"/>
        <w:numPr>
          <w:ilvl w:val="0"/>
          <w:numId w:val="1"/>
        </w:numPr>
      </w:pPr>
      <w:r>
        <w:t xml:space="preserve">Improve </w:t>
      </w:r>
      <w:proofErr w:type="spellStart"/>
      <w:r w:rsidR="006B60D4">
        <w:t>expoloration</w:t>
      </w:r>
      <w:proofErr w:type="spellEnd"/>
      <w:r>
        <w:t xml:space="preserve"> of drug product information base on the active ingredients to assist developmental decision (formulation/formulator)</w:t>
      </w:r>
    </w:p>
    <w:p w14:paraId="3B33356E" w14:textId="6703C5B6" w:rsidR="00E35F84" w:rsidRDefault="00E35F84" w:rsidP="00E35F84">
      <w:pPr>
        <w:pStyle w:val="ListParagraph"/>
        <w:numPr>
          <w:ilvl w:val="0"/>
          <w:numId w:val="1"/>
        </w:numPr>
      </w:pPr>
      <w:r>
        <w:t>Apply Classification ML to predict dose (single/multi) on Excipients and packaging information</w:t>
      </w:r>
    </w:p>
    <w:p w14:paraId="1D0EA69B" w14:textId="12D01B84" w:rsidR="00E35F84" w:rsidRPr="00E35F84" w:rsidRDefault="00E35F84" w:rsidP="00E35F84">
      <w:pPr>
        <w:rPr>
          <w:b/>
          <w:bCs/>
        </w:rPr>
      </w:pPr>
      <w:r>
        <w:rPr>
          <w:b/>
          <w:bCs/>
        </w:rPr>
        <w:t>Long</w:t>
      </w:r>
      <w:r w:rsidRPr="00E35F84">
        <w:rPr>
          <w:b/>
          <w:bCs/>
        </w:rPr>
        <w:t>-term</w:t>
      </w:r>
    </w:p>
    <w:p w14:paraId="4AB31A51" w14:textId="21B861A7" w:rsidR="00E35F84" w:rsidRDefault="00E35F84" w:rsidP="00E35F84">
      <w:pPr>
        <w:pStyle w:val="ListParagraph"/>
        <w:numPr>
          <w:ilvl w:val="0"/>
          <w:numId w:val="1"/>
        </w:numPr>
      </w:pPr>
      <w:r>
        <w:t>Open to suggestion</w:t>
      </w:r>
    </w:p>
    <w:p w14:paraId="3AE13999" w14:textId="49AA0D4B" w:rsidR="00E35F84" w:rsidRDefault="00E35F84" w:rsidP="00E35F84">
      <w:pPr>
        <w:pStyle w:val="Heading1"/>
      </w:pPr>
      <w:r>
        <w:t>Information Needed</w:t>
      </w:r>
      <w:r w:rsidR="009B721B">
        <w:t xml:space="preserve"> From the Database</w:t>
      </w:r>
    </w:p>
    <w:tbl>
      <w:tblPr>
        <w:tblStyle w:val="TableGrid"/>
        <w:tblW w:w="5000" w:type="pct"/>
        <w:tblLook w:val="04A0" w:firstRow="1" w:lastRow="0" w:firstColumn="1" w:lastColumn="0" w:noHBand="0" w:noVBand="1"/>
      </w:tblPr>
      <w:tblGrid>
        <w:gridCol w:w="1516"/>
        <w:gridCol w:w="1517"/>
        <w:gridCol w:w="1623"/>
        <w:gridCol w:w="1212"/>
        <w:gridCol w:w="3482"/>
      </w:tblGrid>
      <w:tr w:rsidR="007E21CE" w14:paraId="26667C71" w14:textId="77777777" w:rsidTr="007E21CE">
        <w:tc>
          <w:tcPr>
            <w:tcW w:w="811" w:type="pct"/>
            <w:shd w:val="clear" w:color="auto" w:fill="D9D9D9" w:themeFill="background1" w:themeFillShade="D9"/>
          </w:tcPr>
          <w:p w14:paraId="52B475E8" w14:textId="46060FCA" w:rsidR="007E21CE" w:rsidRDefault="007E21CE" w:rsidP="00E35F84">
            <w:r>
              <w:t>Purpose</w:t>
            </w:r>
          </w:p>
        </w:tc>
        <w:tc>
          <w:tcPr>
            <w:tcW w:w="811" w:type="pct"/>
            <w:shd w:val="clear" w:color="auto" w:fill="D9D9D9" w:themeFill="background1" w:themeFillShade="D9"/>
          </w:tcPr>
          <w:p w14:paraId="7AFF339A" w14:textId="599560EE" w:rsidR="007E21CE" w:rsidRDefault="007E21CE" w:rsidP="00E35F84">
            <w:r>
              <w:t>Information Description</w:t>
            </w:r>
          </w:p>
        </w:tc>
        <w:tc>
          <w:tcPr>
            <w:tcW w:w="868" w:type="pct"/>
            <w:shd w:val="clear" w:color="auto" w:fill="D9D9D9" w:themeFill="background1" w:themeFillShade="D9"/>
          </w:tcPr>
          <w:p w14:paraId="1B14DAD8" w14:textId="71BB32AA" w:rsidR="007E21CE" w:rsidRDefault="007E21CE" w:rsidP="00E35F84">
            <w:r>
              <w:t>Example</w:t>
            </w:r>
          </w:p>
        </w:tc>
        <w:tc>
          <w:tcPr>
            <w:tcW w:w="648" w:type="pct"/>
            <w:shd w:val="clear" w:color="auto" w:fill="D9D9D9" w:themeFill="background1" w:themeFillShade="D9"/>
          </w:tcPr>
          <w:p w14:paraId="2B6B8618" w14:textId="552AA617" w:rsidR="007E21CE" w:rsidRDefault="007E21CE" w:rsidP="00E35F84">
            <w:r>
              <w:t>Query from:</w:t>
            </w:r>
          </w:p>
        </w:tc>
        <w:tc>
          <w:tcPr>
            <w:tcW w:w="1862" w:type="pct"/>
            <w:shd w:val="clear" w:color="auto" w:fill="D9D9D9" w:themeFill="background1" w:themeFillShade="D9"/>
          </w:tcPr>
          <w:p w14:paraId="570416F7" w14:textId="0F918A21" w:rsidR="007E21CE" w:rsidRDefault="007E21CE" w:rsidP="00E35F84">
            <w:r>
              <w:t>Label Name in Database</w:t>
            </w:r>
          </w:p>
        </w:tc>
      </w:tr>
      <w:tr w:rsidR="007E21CE" w14:paraId="58F5E5A5" w14:textId="77777777" w:rsidTr="007E21CE">
        <w:tc>
          <w:tcPr>
            <w:tcW w:w="811" w:type="pct"/>
          </w:tcPr>
          <w:p w14:paraId="75AA3230" w14:textId="443BE324" w:rsidR="007E21CE" w:rsidRDefault="007E21CE" w:rsidP="00E35F84">
            <w:r>
              <w:t>Data</w:t>
            </w:r>
          </w:p>
          <w:p w14:paraId="049A5AA4" w14:textId="7F583305" w:rsidR="007E21CE" w:rsidRDefault="007E21CE" w:rsidP="00E35F84"/>
        </w:tc>
        <w:tc>
          <w:tcPr>
            <w:tcW w:w="811" w:type="pct"/>
          </w:tcPr>
          <w:p w14:paraId="44C0BD36" w14:textId="701C3140" w:rsidR="007E21CE" w:rsidRDefault="007E21CE" w:rsidP="00E35F84">
            <w:r>
              <w:t>Active Ingredient Name (API)</w:t>
            </w:r>
          </w:p>
        </w:tc>
        <w:tc>
          <w:tcPr>
            <w:tcW w:w="868" w:type="pct"/>
          </w:tcPr>
          <w:p w14:paraId="7DC2BA67" w14:textId="3B0A29A1" w:rsidR="007E21CE" w:rsidRDefault="007E21CE" w:rsidP="00E35F84">
            <w:r>
              <w:t>Midazolam</w:t>
            </w:r>
          </w:p>
        </w:tc>
        <w:tc>
          <w:tcPr>
            <w:tcW w:w="648" w:type="pct"/>
          </w:tcPr>
          <w:p w14:paraId="3127A95E" w14:textId="318D4E7A" w:rsidR="007E21CE" w:rsidRDefault="007E21CE" w:rsidP="00E35F84">
            <w:r>
              <w:t>NDC</w:t>
            </w:r>
          </w:p>
        </w:tc>
        <w:tc>
          <w:tcPr>
            <w:tcW w:w="1862" w:type="pct"/>
          </w:tcPr>
          <w:p w14:paraId="59995270" w14:textId="3D8ECBD8" w:rsidR="007E21CE" w:rsidRPr="007E21CE" w:rsidRDefault="007E21CE" w:rsidP="00E35F84">
            <w:pPr>
              <w:rPr>
                <w:rFonts w:ascii="Consolas" w:hAnsi="Consolas"/>
              </w:rPr>
            </w:pPr>
            <w:r w:rsidRPr="007E21CE">
              <w:rPr>
                <w:rFonts w:ascii="Consolas" w:hAnsi="Consolas"/>
              </w:rPr>
              <w:t>Active_ingredients.name</w:t>
            </w:r>
          </w:p>
        </w:tc>
      </w:tr>
      <w:tr w:rsidR="007E21CE" w14:paraId="6EE6A3C9" w14:textId="77777777" w:rsidTr="007E21CE">
        <w:tc>
          <w:tcPr>
            <w:tcW w:w="811" w:type="pct"/>
          </w:tcPr>
          <w:p w14:paraId="4CF4264B" w14:textId="77777777" w:rsidR="007E21CE" w:rsidRDefault="007E21CE" w:rsidP="007E21CE">
            <w:r>
              <w:t>Data</w:t>
            </w:r>
          </w:p>
          <w:p w14:paraId="37BAE047" w14:textId="77777777" w:rsidR="007E21CE" w:rsidRDefault="007E21CE" w:rsidP="009B721B"/>
        </w:tc>
        <w:tc>
          <w:tcPr>
            <w:tcW w:w="811" w:type="pct"/>
          </w:tcPr>
          <w:p w14:paraId="6C77E1B3" w14:textId="3093F8C1" w:rsidR="007E21CE" w:rsidRDefault="007E21CE" w:rsidP="009B721B">
            <w:r>
              <w:t>API Concentration</w:t>
            </w:r>
          </w:p>
        </w:tc>
        <w:tc>
          <w:tcPr>
            <w:tcW w:w="868" w:type="pct"/>
          </w:tcPr>
          <w:p w14:paraId="75EF2E12" w14:textId="56736AAF" w:rsidR="007E21CE" w:rsidRDefault="007E21CE" w:rsidP="009B721B">
            <w:r>
              <w:t>10 mg/mL</w:t>
            </w:r>
          </w:p>
        </w:tc>
        <w:tc>
          <w:tcPr>
            <w:tcW w:w="648" w:type="pct"/>
          </w:tcPr>
          <w:p w14:paraId="4E1A8C68" w14:textId="2574A695" w:rsidR="007E21CE" w:rsidRDefault="007E21CE" w:rsidP="009B721B">
            <w:r>
              <w:t>NDC</w:t>
            </w:r>
          </w:p>
        </w:tc>
        <w:tc>
          <w:tcPr>
            <w:tcW w:w="1862" w:type="pct"/>
          </w:tcPr>
          <w:p w14:paraId="6B895FB3" w14:textId="7618BB8E" w:rsidR="007E21CE" w:rsidRPr="007E21CE" w:rsidRDefault="007E21CE" w:rsidP="009B721B">
            <w:pPr>
              <w:rPr>
                <w:rFonts w:ascii="Consolas" w:hAnsi="Consolas"/>
              </w:rPr>
            </w:pPr>
            <w:proofErr w:type="spellStart"/>
            <w:r w:rsidRPr="007E21CE">
              <w:rPr>
                <w:rFonts w:ascii="Consolas" w:hAnsi="Consolas"/>
              </w:rPr>
              <w:t>Active_ingredients.strength</w:t>
            </w:r>
            <w:proofErr w:type="spellEnd"/>
          </w:p>
        </w:tc>
      </w:tr>
      <w:tr w:rsidR="007E21CE" w14:paraId="39FDE9F0" w14:textId="77777777" w:rsidTr="007E21CE">
        <w:tc>
          <w:tcPr>
            <w:tcW w:w="811" w:type="pct"/>
          </w:tcPr>
          <w:p w14:paraId="44FCC810" w14:textId="78820E66" w:rsidR="007E21CE" w:rsidRDefault="007E21CE" w:rsidP="009B721B">
            <w:r>
              <w:t>Data</w:t>
            </w:r>
          </w:p>
        </w:tc>
        <w:tc>
          <w:tcPr>
            <w:tcW w:w="811" w:type="pct"/>
          </w:tcPr>
          <w:p w14:paraId="21264F2E" w14:textId="173AC74E" w:rsidR="007E21CE" w:rsidRDefault="007E21CE" w:rsidP="009B721B">
            <w:r>
              <w:t>Fill Volume</w:t>
            </w:r>
          </w:p>
        </w:tc>
        <w:tc>
          <w:tcPr>
            <w:tcW w:w="868" w:type="pct"/>
          </w:tcPr>
          <w:p w14:paraId="452C65A2" w14:textId="2E1DE8F0" w:rsidR="007E21CE" w:rsidRDefault="007E21CE" w:rsidP="009B721B">
            <w:r>
              <w:t>10 mL</w:t>
            </w:r>
          </w:p>
        </w:tc>
        <w:tc>
          <w:tcPr>
            <w:tcW w:w="648" w:type="pct"/>
          </w:tcPr>
          <w:p w14:paraId="55B8669C" w14:textId="0DC39930" w:rsidR="007E21CE" w:rsidRDefault="007E21CE" w:rsidP="009B721B">
            <w:r>
              <w:t>NDC</w:t>
            </w:r>
          </w:p>
        </w:tc>
        <w:tc>
          <w:tcPr>
            <w:tcW w:w="1862" w:type="pct"/>
          </w:tcPr>
          <w:p w14:paraId="1E4552C7" w14:textId="33D89F02" w:rsidR="007E21CE" w:rsidRPr="007E21CE" w:rsidRDefault="007E21CE" w:rsidP="009B721B">
            <w:pPr>
              <w:rPr>
                <w:rFonts w:ascii="Consolas" w:hAnsi="Consolas"/>
              </w:rPr>
            </w:pPr>
            <w:proofErr w:type="spellStart"/>
            <w:r w:rsidRPr="007E21CE">
              <w:rPr>
                <w:rFonts w:ascii="Consolas" w:hAnsi="Consolas"/>
              </w:rPr>
              <w:t>Packaging.description</w:t>
            </w:r>
            <w:proofErr w:type="spellEnd"/>
          </w:p>
        </w:tc>
      </w:tr>
      <w:tr w:rsidR="007E21CE" w14:paraId="3CE834AE" w14:textId="77777777" w:rsidTr="007E21CE">
        <w:tc>
          <w:tcPr>
            <w:tcW w:w="811" w:type="pct"/>
          </w:tcPr>
          <w:p w14:paraId="352AC357" w14:textId="306F5585" w:rsidR="007E21CE" w:rsidRDefault="007E21CE" w:rsidP="009B721B">
            <w:r>
              <w:t>Data</w:t>
            </w:r>
          </w:p>
        </w:tc>
        <w:tc>
          <w:tcPr>
            <w:tcW w:w="811" w:type="pct"/>
          </w:tcPr>
          <w:p w14:paraId="5D047846" w14:textId="3093E7A7" w:rsidR="007E21CE" w:rsidRDefault="007E21CE" w:rsidP="009B721B">
            <w:r>
              <w:t>Fill Container</w:t>
            </w:r>
          </w:p>
        </w:tc>
        <w:tc>
          <w:tcPr>
            <w:tcW w:w="868" w:type="pct"/>
          </w:tcPr>
          <w:p w14:paraId="6C9F3BA9" w14:textId="4BD41BFC" w:rsidR="007E21CE" w:rsidRDefault="007E21CE" w:rsidP="009B721B">
            <w:r>
              <w:t>Per Vial</w:t>
            </w:r>
          </w:p>
        </w:tc>
        <w:tc>
          <w:tcPr>
            <w:tcW w:w="648" w:type="pct"/>
          </w:tcPr>
          <w:p w14:paraId="0F86F857" w14:textId="23D88844" w:rsidR="007E21CE" w:rsidRDefault="007E21CE" w:rsidP="009B721B">
            <w:r>
              <w:t>NDC</w:t>
            </w:r>
          </w:p>
        </w:tc>
        <w:tc>
          <w:tcPr>
            <w:tcW w:w="1862" w:type="pct"/>
          </w:tcPr>
          <w:p w14:paraId="47F1CC17" w14:textId="26896B67" w:rsidR="007E21CE" w:rsidRPr="007E21CE" w:rsidRDefault="007E21CE" w:rsidP="009B721B">
            <w:pPr>
              <w:rPr>
                <w:rFonts w:ascii="Consolas" w:hAnsi="Consolas"/>
              </w:rPr>
            </w:pPr>
            <w:proofErr w:type="spellStart"/>
            <w:r w:rsidRPr="007E21CE">
              <w:rPr>
                <w:rFonts w:ascii="Consolas" w:hAnsi="Consolas"/>
              </w:rPr>
              <w:t>Packaging.description</w:t>
            </w:r>
            <w:proofErr w:type="spellEnd"/>
          </w:p>
        </w:tc>
      </w:tr>
      <w:tr w:rsidR="007E21CE" w14:paraId="3B56FEE2" w14:textId="77777777" w:rsidTr="007E21CE">
        <w:tc>
          <w:tcPr>
            <w:tcW w:w="811" w:type="pct"/>
          </w:tcPr>
          <w:p w14:paraId="18B039DD" w14:textId="3A308989" w:rsidR="007E21CE" w:rsidRDefault="007E21CE" w:rsidP="009B721B">
            <w:r>
              <w:t>Data</w:t>
            </w:r>
          </w:p>
        </w:tc>
        <w:tc>
          <w:tcPr>
            <w:tcW w:w="811" w:type="pct"/>
          </w:tcPr>
          <w:p w14:paraId="3339C390" w14:textId="4494B9FF" w:rsidR="007E21CE" w:rsidRDefault="007E21CE" w:rsidP="009B721B">
            <w:r>
              <w:t>Packaging Size</w:t>
            </w:r>
          </w:p>
        </w:tc>
        <w:tc>
          <w:tcPr>
            <w:tcW w:w="868" w:type="pct"/>
          </w:tcPr>
          <w:p w14:paraId="00AC2ABC" w14:textId="3E9EA9E6" w:rsidR="007E21CE" w:rsidRDefault="007E21CE" w:rsidP="009B721B">
            <w:r>
              <w:t>10 Vials</w:t>
            </w:r>
          </w:p>
        </w:tc>
        <w:tc>
          <w:tcPr>
            <w:tcW w:w="648" w:type="pct"/>
          </w:tcPr>
          <w:p w14:paraId="4A1048AC" w14:textId="44F04EEA" w:rsidR="007E21CE" w:rsidRDefault="007E21CE" w:rsidP="009B721B">
            <w:r>
              <w:t>NDC</w:t>
            </w:r>
          </w:p>
        </w:tc>
        <w:tc>
          <w:tcPr>
            <w:tcW w:w="1862" w:type="pct"/>
          </w:tcPr>
          <w:p w14:paraId="6DC0D4C2" w14:textId="00EA03B2" w:rsidR="007E21CE" w:rsidRPr="007E21CE" w:rsidRDefault="007E21CE" w:rsidP="009B721B">
            <w:pPr>
              <w:rPr>
                <w:rFonts w:ascii="Consolas" w:hAnsi="Consolas"/>
              </w:rPr>
            </w:pPr>
            <w:proofErr w:type="spellStart"/>
            <w:r w:rsidRPr="007E21CE">
              <w:rPr>
                <w:rFonts w:ascii="Consolas" w:hAnsi="Consolas"/>
              </w:rPr>
              <w:t>Packaging.description</w:t>
            </w:r>
            <w:proofErr w:type="spellEnd"/>
          </w:p>
        </w:tc>
      </w:tr>
      <w:tr w:rsidR="007E21CE" w14:paraId="62558A02" w14:textId="77777777" w:rsidTr="007E21CE">
        <w:tc>
          <w:tcPr>
            <w:tcW w:w="811" w:type="pct"/>
          </w:tcPr>
          <w:p w14:paraId="370D87DA" w14:textId="77777777" w:rsidR="007E21CE" w:rsidRDefault="007E21CE" w:rsidP="007E21CE">
            <w:r>
              <w:t>Data</w:t>
            </w:r>
          </w:p>
          <w:p w14:paraId="4EEA0E9C" w14:textId="77777777" w:rsidR="007E21CE" w:rsidRDefault="007E21CE" w:rsidP="009B721B"/>
        </w:tc>
        <w:tc>
          <w:tcPr>
            <w:tcW w:w="811" w:type="pct"/>
          </w:tcPr>
          <w:p w14:paraId="137CE6DE" w14:textId="3BA89F0A" w:rsidR="007E21CE" w:rsidRDefault="007E21CE" w:rsidP="009B721B">
            <w:r>
              <w:t>Packaging Configuration</w:t>
            </w:r>
          </w:p>
        </w:tc>
        <w:tc>
          <w:tcPr>
            <w:tcW w:w="868" w:type="pct"/>
          </w:tcPr>
          <w:p w14:paraId="037A4D07" w14:textId="7E61FDFF" w:rsidR="007E21CE" w:rsidRDefault="007E21CE" w:rsidP="009B721B">
            <w:r>
              <w:t>Per Box</w:t>
            </w:r>
          </w:p>
        </w:tc>
        <w:tc>
          <w:tcPr>
            <w:tcW w:w="648" w:type="pct"/>
          </w:tcPr>
          <w:p w14:paraId="39B1800E" w14:textId="52103DA9" w:rsidR="007E21CE" w:rsidRDefault="007E21CE" w:rsidP="009B721B">
            <w:r>
              <w:t>NDC</w:t>
            </w:r>
          </w:p>
        </w:tc>
        <w:tc>
          <w:tcPr>
            <w:tcW w:w="1862" w:type="pct"/>
          </w:tcPr>
          <w:p w14:paraId="698A75C5" w14:textId="2C9C7CC3" w:rsidR="007E21CE" w:rsidRPr="007E21CE" w:rsidRDefault="007E21CE" w:rsidP="009B721B">
            <w:pPr>
              <w:rPr>
                <w:rFonts w:ascii="Consolas" w:hAnsi="Consolas"/>
              </w:rPr>
            </w:pPr>
            <w:proofErr w:type="spellStart"/>
            <w:r w:rsidRPr="007E21CE">
              <w:rPr>
                <w:rFonts w:ascii="Consolas" w:hAnsi="Consolas"/>
              </w:rPr>
              <w:t>Packaging.description</w:t>
            </w:r>
            <w:proofErr w:type="spellEnd"/>
          </w:p>
        </w:tc>
      </w:tr>
      <w:tr w:rsidR="007E21CE" w14:paraId="1F99449F" w14:textId="77777777" w:rsidTr="007E21CE">
        <w:tc>
          <w:tcPr>
            <w:tcW w:w="811" w:type="pct"/>
          </w:tcPr>
          <w:p w14:paraId="1D2180AD" w14:textId="77777777" w:rsidR="007E21CE" w:rsidRDefault="007E21CE" w:rsidP="007E21CE">
            <w:r>
              <w:t>Data</w:t>
            </w:r>
          </w:p>
          <w:p w14:paraId="0D0EB71C" w14:textId="77777777" w:rsidR="007E21CE" w:rsidRDefault="007E21CE" w:rsidP="009B721B"/>
        </w:tc>
        <w:tc>
          <w:tcPr>
            <w:tcW w:w="811" w:type="pct"/>
          </w:tcPr>
          <w:p w14:paraId="069C5515" w14:textId="043F578F" w:rsidR="007E21CE" w:rsidRDefault="007E21CE" w:rsidP="009B721B">
            <w:r>
              <w:t>Inactive Ingredient List</w:t>
            </w:r>
          </w:p>
        </w:tc>
        <w:tc>
          <w:tcPr>
            <w:tcW w:w="868" w:type="pct"/>
          </w:tcPr>
          <w:p w14:paraId="727745F8" w14:textId="420CDAC1" w:rsidR="007E21CE" w:rsidRDefault="007E21CE" w:rsidP="009B721B">
            <w:r>
              <w:t xml:space="preserve">Benzyl Alcohol, EDTA, </w:t>
            </w:r>
            <w:proofErr w:type="spellStart"/>
            <w:r>
              <w:t>ETc.</w:t>
            </w:r>
            <w:proofErr w:type="spellEnd"/>
          </w:p>
        </w:tc>
        <w:tc>
          <w:tcPr>
            <w:tcW w:w="648" w:type="pct"/>
          </w:tcPr>
          <w:p w14:paraId="3678BEC0" w14:textId="08ED817A" w:rsidR="007E21CE" w:rsidRDefault="007E21CE" w:rsidP="009B721B">
            <w:r>
              <w:t>Label</w:t>
            </w:r>
          </w:p>
        </w:tc>
        <w:tc>
          <w:tcPr>
            <w:tcW w:w="1862" w:type="pct"/>
          </w:tcPr>
          <w:p w14:paraId="548E4BFD" w14:textId="77777777" w:rsidR="007E21CE" w:rsidRPr="004E6AD6" w:rsidRDefault="007E21CE" w:rsidP="004E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rPr>
            </w:pPr>
            <w:proofErr w:type="spellStart"/>
            <w:r w:rsidRPr="004E6AD6">
              <w:rPr>
                <w:rFonts w:ascii="Consolas" w:eastAsia="Times New Roman" w:hAnsi="Consolas" w:cs="Courier New"/>
                <w:color w:val="000000"/>
              </w:rPr>
              <w:t>spl_product_data_elements</w:t>
            </w:r>
            <w:proofErr w:type="spellEnd"/>
          </w:p>
          <w:p w14:paraId="513AA776" w14:textId="77777777" w:rsidR="007E21CE" w:rsidRPr="007E21CE" w:rsidRDefault="007E21CE" w:rsidP="009B721B">
            <w:pPr>
              <w:rPr>
                <w:rFonts w:ascii="Consolas" w:hAnsi="Consolas"/>
              </w:rPr>
            </w:pPr>
          </w:p>
        </w:tc>
      </w:tr>
      <w:tr w:rsidR="007E21CE" w14:paraId="5C4DAD31" w14:textId="77777777" w:rsidTr="007E21CE">
        <w:tc>
          <w:tcPr>
            <w:tcW w:w="811" w:type="pct"/>
          </w:tcPr>
          <w:p w14:paraId="184E9939" w14:textId="1FAADA36" w:rsidR="007E21CE" w:rsidRDefault="007E21CE" w:rsidP="009B721B">
            <w:r>
              <w:t>Data</w:t>
            </w:r>
          </w:p>
        </w:tc>
        <w:tc>
          <w:tcPr>
            <w:tcW w:w="811" w:type="pct"/>
          </w:tcPr>
          <w:p w14:paraId="3ECD9A47" w14:textId="08935C75" w:rsidR="007E21CE" w:rsidRDefault="007E21CE" w:rsidP="009B721B">
            <w:r>
              <w:t>Inactive Ingredient Concentration</w:t>
            </w:r>
          </w:p>
        </w:tc>
        <w:tc>
          <w:tcPr>
            <w:tcW w:w="868" w:type="pct"/>
          </w:tcPr>
          <w:p w14:paraId="70A47CBE" w14:textId="7620143F" w:rsidR="007E21CE" w:rsidRDefault="007E21CE" w:rsidP="009B721B">
            <w:r>
              <w:t xml:space="preserve">10% Oil, etc. </w:t>
            </w:r>
          </w:p>
        </w:tc>
        <w:tc>
          <w:tcPr>
            <w:tcW w:w="648" w:type="pct"/>
          </w:tcPr>
          <w:p w14:paraId="715274E4" w14:textId="0F5A85E4" w:rsidR="007E21CE" w:rsidRDefault="007E21CE" w:rsidP="009B721B">
            <w:r>
              <w:t>Label</w:t>
            </w:r>
          </w:p>
        </w:tc>
        <w:tc>
          <w:tcPr>
            <w:tcW w:w="1862" w:type="pct"/>
          </w:tcPr>
          <w:p w14:paraId="0AA03F6B" w14:textId="77777777" w:rsidR="007E21CE" w:rsidRPr="007E21CE" w:rsidRDefault="007E21CE" w:rsidP="004E6AD6">
            <w:pPr>
              <w:pStyle w:val="HTMLPreformatted"/>
              <w:rPr>
                <w:rFonts w:ascii="Consolas" w:hAnsi="Consolas"/>
                <w:color w:val="000000"/>
                <w:sz w:val="22"/>
                <w:szCs w:val="22"/>
              </w:rPr>
            </w:pPr>
            <w:r w:rsidRPr="007E21CE">
              <w:rPr>
                <w:rFonts w:ascii="Consolas" w:hAnsi="Consolas"/>
                <w:color w:val="000000"/>
                <w:sz w:val="22"/>
                <w:szCs w:val="22"/>
              </w:rPr>
              <w:t>description</w:t>
            </w:r>
          </w:p>
          <w:p w14:paraId="035B3004" w14:textId="77777777" w:rsidR="007E21CE" w:rsidRPr="007E21CE" w:rsidRDefault="007E21CE" w:rsidP="009B721B">
            <w:pPr>
              <w:rPr>
                <w:rFonts w:ascii="Consolas" w:hAnsi="Consolas"/>
              </w:rPr>
            </w:pPr>
          </w:p>
        </w:tc>
      </w:tr>
      <w:tr w:rsidR="007E21CE" w14:paraId="79C2C70A" w14:textId="77777777" w:rsidTr="007E21CE">
        <w:tc>
          <w:tcPr>
            <w:tcW w:w="811" w:type="pct"/>
          </w:tcPr>
          <w:p w14:paraId="51D97D5B" w14:textId="77777777" w:rsidR="007E21CE" w:rsidRDefault="007E21CE" w:rsidP="007E21CE">
            <w:r>
              <w:t>Data</w:t>
            </w:r>
          </w:p>
          <w:p w14:paraId="5CB0437C" w14:textId="77777777" w:rsidR="007E21CE" w:rsidRDefault="007E21CE" w:rsidP="009B721B"/>
        </w:tc>
        <w:tc>
          <w:tcPr>
            <w:tcW w:w="811" w:type="pct"/>
          </w:tcPr>
          <w:p w14:paraId="74F4C34B" w14:textId="1A58D356" w:rsidR="007E21CE" w:rsidRDefault="007E21CE" w:rsidP="009B721B">
            <w:r>
              <w:t>Dose</w:t>
            </w:r>
          </w:p>
        </w:tc>
        <w:tc>
          <w:tcPr>
            <w:tcW w:w="868" w:type="pct"/>
          </w:tcPr>
          <w:p w14:paraId="6CF507A2" w14:textId="237778D8" w:rsidR="007E21CE" w:rsidRDefault="007E21CE" w:rsidP="009B721B">
            <w:r>
              <w:t>Single Dose</w:t>
            </w:r>
          </w:p>
        </w:tc>
        <w:tc>
          <w:tcPr>
            <w:tcW w:w="648" w:type="pct"/>
          </w:tcPr>
          <w:p w14:paraId="0F32C791" w14:textId="460BF06B" w:rsidR="007E21CE" w:rsidRDefault="007E21CE" w:rsidP="009B721B">
            <w:r>
              <w:t>NDC</w:t>
            </w:r>
          </w:p>
        </w:tc>
        <w:tc>
          <w:tcPr>
            <w:tcW w:w="1862" w:type="pct"/>
          </w:tcPr>
          <w:p w14:paraId="2A1EC6F1" w14:textId="27270C89" w:rsidR="007E21CE" w:rsidRPr="007E21CE" w:rsidRDefault="007E21CE" w:rsidP="009B721B">
            <w:pPr>
              <w:rPr>
                <w:rFonts w:ascii="Consolas" w:hAnsi="Consolas"/>
              </w:rPr>
            </w:pPr>
            <w:proofErr w:type="spellStart"/>
            <w:r w:rsidRPr="007E21CE">
              <w:rPr>
                <w:rFonts w:ascii="Consolas" w:hAnsi="Consolas"/>
              </w:rPr>
              <w:t>Packaging.description</w:t>
            </w:r>
            <w:proofErr w:type="spellEnd"/>
          </w:p>
        </w:tc>
      </w:tr>
      <w:tr w:rsidR="007E21CE" w14:paraId="036350C8" w14:textId="77777777" w:rsidTr="007E21CE">
        <w:tc>
          <w:tcPr>
            <w:tcW w:w="811" w:type="pct"/>
          </w:tcPr>
          <w:p w14:paraId="093BB3ED" w14:textId="27B1576C" w:rsidR="007E21CE" w:rsidRDefault="007E21CE" w:rsidP="009B721B">
            <w:r>
              <w:t>Data</w:t>
            </w:r>
          </w:p>
        </w:tc>
        <w:tc>
          <w:tcPr>
            <w:tcW w:w="811" w:type="pct"/>
          </w:tcPr>
          <w:p w14:paraId="7EBC39AC" w14:textId="7119E38E" w:rsidR="007E21CE" w:rsidRDefault="007E21CE" w:rsidP="009B721B">
            <w:r>
              <w:t>Dose Admin</w:t>
            </w:r>
          </w:p>
        </w:tc>
        <w:tc>
          <w:tcPr>
            <w:tcW w:w="868" w:type="pct"/>
          </w:tcPr>
          <w:p w14:paraId="15FD87D4" w14:textId="6DE138BA" w:rsidR="007E21CE" w:rsidRDefault="007E21CE" w:rsidP="009B721B">
            <w:r>
              <w:t>8 mg/kg/day</w:t>
            </w:r>
          </w:p>
        </w:tc>
        <w:tc>
          <w:tcPr>
            <w:tcW w:w="648" w:type="pct"/>
          </w:tcPr>
          <w:p w14:paraId="3A508BBC" w14:textId="0457C2A2" w:rsidR="007E21CE" w:rsidRDefault="007E21CE" w:rsidP="009B721B">
            <w:r>
              <w:t>Label</w:t>
            </w:r>
          </w:p>
        </w:tc>
        <w:tc>
          <w:tcPr>
            <w:tcW w:w="1862" w:type="pct"/>
          </w:tcPr>
          <w:p w14:paraId="3F0D7C38" w14:textId="28F673AC" w:rsidR="007E21CE" w:rsidRPr="007E21CE" w:rsidRDefault="007E21CE" w:rsidP="00C85CD8">
            <w:pPr>
              <w:pStyle w:val="HTMLPreformatted"/>
              <w:rPr>
                <w:rFonts w:ascii="Consolas" w:hAnsi="Consolas"/>
                <w:color w:val="000000"/>
                <w:sz w:val="22"/>
                <w:szCs w:val="22"/>
              </w:rPr>
            </w:pPr>
            <w:r w:rsidRPr="007E21CE">
              <w:rPr>
                <w:rFonts w:ascii="Consolas" w:hAnsi="Consolas"/>
                <w:color w:val="000000"/>
                <w:sz w:val="22"/>
                <w:szCs w:val="22"/>
              </w:rPr>
              <w:t>precautions</w:t>
            </w:r>
          </w:p>
        </w:tc>
      </w:tr>
      <w:tr w:rsidR="007E21CE" w14:paraId="6E1C76B3" w14:textId="77777777" w:rsidTr="007E21CE">
        <w:tc>
          <w:tcPr>
            <w:tcW w:w="811" w:type="pct"/>
          </w:tcPr>
          <w:p w14:paraId="06724113" w14:textId="597393E3" w:rsidR="007E21CE" w:rsidRDefault="007E21CE" w:rsidP="009B721B">
            <w:r>
              <w:t>Data</w:t>
            </w:r>
          </w:p>
        </w:tc>
        <w:tc>
          <w:tcPr>
            <w:tcW w:w="811" w:type="pct"/>
          </w:tcPr>
          <w:p w14:paraId="28DB265C" w14:textId="52724FF5" w:rsidR="007E21CE" w:rsidRDefault="007E21CE" w:rsidP="009B721B">
            <w:r>
              <w:t>Route</w:t>
            </w:r>
          </w:p>
        </w:tc>
        <w:tc>
          <w:tcPr>
            <w:tcW w:w="868" w:type="pct"/>
          </w:tcPr>
          <w:p w14:paraId="7A5B644C" w14:textId="4B219203" w:rsidR="007E21CE" w:rsidRDefault="007E21CE" w:rsidP="009B721B">
            <w:r>
              <w:t>IV</w:t>
            </w:r>
          </w:p>
        </w:tc>
        <w:tc>
          <w:tcPr>
            <w:tcW w:w="648" w:type="pct"/>
          </w:tcPr>
          <w:p w14:paraId="23B715BE" w14:textId="77777777" w:rsidR="007E21CE" w:rsidRDefault="007E21CE" w:rsidP="009B721B">
            <w:r>
              <w:t>NDC</w:t>
            </w:r>
            <w:r w:rsidR="006B60D4">
              <w:t xml:space="preserve">, </w:t>
            </w:r>
          </w:p>
          <w:p w14:paraId="1F239F63" w14:textId="20DDE27D" w:rsidR="006B60D4" w:rsidRDefault="006B60D4" w:rsidP="009B721B">
            <w:r>
              <w:t>Label</w:t>
            </w:r>
          </w:p>
        </w:tc>
        <w:tc>
          <w:tcPr>
            <w:tcW w:w="1862" w:type="pct"/>
          </w:tcPr>
          <w:p w14:paraId="6E96982E" w14:textId="4C3BF6D8" w:rsidR="007E21CE" w:rsidRDefault="006B60D4" w:rsidP="00C85CD8">
            <w:pPr>
              <w:pStyle w:val="HTMLPreformatted"/>
              <w:rPr>
                <w:rFonts w:ascii="Consolas" w:hAnsi="Consolas"/>
                <w:color w:val="000000"/>
                <w:sz w:val="22"/>
                <w:szCs w:val="22"/>
              </w:rPr>
            </w:pPr>
            <w:r w:rsidRPr="007E21CE">
              <w:rPr>
                <w:rFonts w:ascii="Consolas" w:hAnsi="Consolas"/>
                <w:color w:val="000000"/>
                <w:sz w:val="22"/>
                <w:szCs w:val="22"/>
              </w:rPr>
              <w:t>R</w:t>
            </w:r>
            <w:r w:rsidR="007E21CE" w:rsidRPr="007E21CE">
              <w:rPr>
                <w:rFonts w:ascii="Consolas" w:hAnsi="Consolas"/>
                <w:color w:val="000000"/>
                <w:sz w:val="22"/>
                <w:szCs w:val="22"/>
              </w:rPr>
              <w:t>oute</w:t>
            </w:r>
          </w:p>
          <w:p w14:paraId="34A66278" w14:textId="2A3D7ADA" w:rsidR="006B60D4" w:rsidRPr="007E21CE" w:rsidRDefault="006B60D4" w:rsidP="00C85CD8">
            <w:pPr>
              <w:pStyle w:val="HTMLPreformatted"/>
              <w:rPr>
                <w:rFonts w:ascii="Consolas" w:hAnsi="Consolas"/>
                <w:color w:val="000000"/>
                <w:sz w:val="22"/>
                <w:szCs w:val="22"/>
              </w:rPr>
            </w:pPr>
            <w:proofErr w:type="spellStart"/>
            <w:r>
              <w:rPr>
                <w:rFonts w:ascii="Consolas" w:hAnsi="Consolas"/>
                <w:color w:val="000000"/>
                <w:sz w:val="22"/>
                <w:szCs w:val="22"/>
              </w:rPr>
              <w:t>Openfda.</w:t>
            </w:r>
            <w:r w:rsidRPr="007E21CE">
              <w:rPr>
                <w:rFonts w:ascii="Consolas" w:hAnsi="Consolas"/>
                <w:color w:val="000000"/>
                <w:sz w:val="22"/>
                <w:szCs w:val="22"/>
              </w:rPr>
              <w:t>route</w:t>
            </w:r>
            <w:proofErr w:type="spellEnd"/>
          </w:p>
        </w:tc>
      </w:tr>
      <w:tr w:rsidR="007E21CE" w14:paraId="42C3F3D8" w14:textId="77777777" w:rsidTr="007E21CE">
        <w:tc>
          <w:tcPr>
            <w:tcW w:w="811" w:type="pct"/>
          </w:tcPr>
          <w:p w14:paraId="279CFB84" w14:textId="41FD5A82" w:rsidR="007E21CE" w:rsidRDefault="007E21CE" w:rsidP="009B721B">
            <w:r>
              <w:t>Data</w:t>
            </w:r>
          </w:p>
        </w:tc>
        <w:tc>
          <w:tcPr>
            <w:tcW w:w="811" w:type="pct"/>
          </w:tcPr>
          <w:p w14:paraId="0E024CE6" w14:textId="68372BEC" w:rsidR="007E21CE" w:rsidRDefault="007E21CE" w:rsidP="009B721B">
            <w:r>
              <w:t>Storage</w:t>
            </w:r>
          </w:p>
        </w:tc>
        <w:tc>
          <w:tcPr>
            <w:tcW w:w="868" w:type="pct"/>
          </w:tcPr>
          <w:p w14:paraId="094CCED4" w14:textId="368338B3" w:rsidR="007E21CE" w:rsidRPr="007E21CE" w:rsidRDefault="007E21CE" w:rsidP="009B721B">
            <w:pPr>
              <w:rPr>
                <w:rFonts w:cstheme="minorHAnsi"/>
              </w:rPr>
            </w:pPr>
            <w:r w:rsidRPr="007E21CE">
              <w:rPr>
                <w:rFonts w:cstheme="minorHAnsi"/>
              </w:rPr>
              <w:t>2-8C, Protect from light</w:t>
            </w:r>
          </w:p>
        </w:tc>
        <w:tc>
          <w:tcPr>
            <w:tcW w:w="648" w:type="pct"/>
          </w:tcPr>
          <w:p w14:paraId="62A74220" w14:textId="7E0B5115" w:rsidR="007E21CE" w:rsidRDefault="007E21CE" w:rsidP="009B721B">
            <w:r>
              <w:t>Label</w:t>
            </w:r>
          </w:p>
        </w:tc>
        <w:tc>
          <w:tcPr>
            <w:tcW w:w="1862" w:type="pct"/>
          </w:tcPr>
          <w:p w14:paraId="45A0BEC9" w14:textId="5B4D4CFD" w:rsidR="007E21CE" w:rsidRPr="007E21CE" w:rsidRDefault="007E21CE" w:rsidP="00C85CD8">
            <w:pPr>
              <w:pStyle w:val="HTMLPreformatted"/>
              <w:rPr>
                <w:rFonts w:ascii="Consolas" w:hAnsi="Consolas"/>
                <w:color w:val="000000"/>
                <w:sz w:val="22"/>
                <w:szCs w:val="22"/>
              </w:rPr>
            </w:pPr>
            <w:proofErr w:type="spellStart"/>
            <w:r w:rsidRPr="007E21CE">
              <w:rPr>
                <w:rFonts w:ascii="Consolas" w:hAnsi="Consolas"/>
                <w:color w:val="000000"/>
                <w:sz w:val="22"/>
                <w:szCs w:val="22"/>
              </w:rPr>
              <w:t>how_supplied</w:t>
            </w:r>
            <w:proofErr w:type="spellEnd"/>
          </w:p>
        </w:tc>
      </w:tr>
      <w:tr w:rsidR="007E21CE" w14:paraId="1A8B939A" w14:textId="77777777" w:rsidTr="007E21CE">
        <w:tc>
          <w:tcPr>
            <w:tcW w:w="811" w:type="pct"/>
          </w:tcPr>
          <w:p w14:paraId="0EAA7964" w14:textId="2F860E69" w:rsidR="007E21CE" w:rsidRDefault="007E21CE" w:rsidP="009B721B">
            <w:r>
              <w:t>Data</w:t>
            </w:r>
          </w:p>
        </w:tc>
        <w:tc>
          <w:tcPr>
            <w:tcW w:w="811" w:type="pct"/>
          </w:tcPr>
          <w:p w14:paraId="7B54DF35" w14:textId="4C69B751" w:rsidR="007E21CE" w:rsidRDefault="007E21CE" w:rsidP="009B721B">
            <w:r>
              <w:t>Class</w:t>
            </w:r>
          </w:p>
        </w:tc>
        <w:tc>
          <w:tcPr>
            <w:tcW w:w="868" w:type="pct"/>
          </w:tcPr>
          <w:p w14:paraId="0203F56F" w14:textId="7EE8B7EE" w:rsidR="007E21CE" w:rsidRPr="007E21CE" w:rsidRDefault="007E21CE" w:rsidP="009B721B">
            <w:pPr>
              <w:rPr>
                <w:rFonts w:cstheme="minorHAnsi"/>
              </w:rPr>
            </w:pPr>
            <w:r w:rsidRPr="007E21CE">
              <w:rPr>
                <w:rFonts w:cstheme="minorHAnsi"/>
              </w:rPr>
              <w:t>Benzodiazepine</w:t>
            </w:r>
          </w:p>
        </w:tc>
        <w:tc>
          <w:tcPr>
            <w:tcW w:w="648" w:type="pct"/>
          </w:tcPr>
          <w:p w14:paraId="6CEB5C7E" w14:textId="2CFAEC2B" w:rsidR="007E21CE" w:rsidRDefault="007E21CE" w:rsidP="009B721B">
            <w:r>
              <w:t>NDC</w:t>
            </w:r>
          </w:p>
        </w:tc>
        <w:tc>
          <w:tcPr>
            <w:tcW w:w="1862" w:type="pct"/>
          </w:tcPr>
          <w:p w14:paraId="1C483E52" w14:textId="46B7F9FB" w:rsidR="007E21CE" w:rsidRPr="007E21CE" w:rsidRDefault="007E21CE" w:rsidP="00C85CD8">
            <w:pPr>
              <w:pStyle w:val="HTMLPreformatted"/>
              <w:rPr>
                <w:rFonts w:ascii="Consolas" w:hAnsi="Consolas"/>
                <w:color w:val="000000"/>
              </w:rPr>
            </w:pPr>
            <w:proofErr w:type="spellStart"/>
            <w:r w:rsidRPr="007E21CE">
              <w:rPr>
                <w:rFonts w:ascii="Consolas" w:hAnsi="Consolas"/>
                <w:color w:val="000000"/>
              </w:rPr>
              <w:t>pharm_class</w:t>
            </w:r>
            <w:proofErr w:type="spellEnd"/>
          </w:p>
        </w:tc>
      </w:tr>
      <w:tr w:rsidR="007E21CE" w14:paraId="5CAE92E8" w14:textId="77777777" w:rsidTr="007E21CE">
        <w:tc>
          <w:tcPr>
            <w:tcW w:w="811" w:type="pct"/>
          </w:tcPr>
          <w:p w14:paraId="395362A0" w14:textId="677F2BAC" w:rsidR="007E21CE" w:rsidRDefault="007E21CE" w:rsidP="009B721B">
            <w:r>
              <w:t>Index</w:t>
            </w:r>
          </w:p>
        </w:tc>
        <w:tc>
          <w:tcPr>
            <w:tcW w:w="811" w:type="pct"/>
          </w:tcPr>
          <w:p w14:paraId="113F56AD" w14:textId="3CFFB870" w:rsidR="007E21CE" w:rsidRDefault="007E21CE" w:rsidP="009B721B">
            <w:proofErr w:type="spellStart"/>
            <w:r>
              <w:t>Package_ndc</w:t>
            </w:r>
            <w:proofErr w:type="spellEnd"/>
          </w:p>
        </w:tc>
        <w:tc>
          <w:tcPr>
            <w:tcW w:w="868" w:type="pct"/>
          </w:tcPr>
          <w:p w14:paraId="45ECDB40" w14:textId="124B2AEC" w:rsidR="007E21CE" w:rsidRPr="007E21CE" w:rsidRDefault="007E21CE" w:rsidP="007E21CE">
            <w:pPr>
              <w:pStyle w:val="HTMLPreformatted"/>
              <w:rPr>
                <w:rFonts w:asciiTheme="minorHAnsi" w:hAnsiTheme="minorHAnsi" w:cstheme="minorHAnsi"/>
                <w:color w:val="000000"/>
              </w:rPr>
            </w:pPr>
            <w:r w:rsidRPr="007E21CE">
              <w:rPr>
                <w:rFonts w:asciiTheme="minorHAnsi" w:hAnsiTheme="minorHAnsi" w:cstheme="minorHAnsi"/>
                <w:color w:val="000000"/>
              </w:rPr>
              <w:t>52584-749-01</w:t>
            </w:r>
          </w:p>
        </w:tc>
        <w:tc>
          <w:tcPr>
            <w:tcW w:w="648" w:type="pct"/>
          </w:tcPr>
          <w:p w14:paraId="4F4D6A35" w14:textId="4943046D" w:rsidR="006B60D4" w:rsidRDefault="007E21CE" w:rsidP="009B721B">
            <w:r>
              <w:t>NDC</w:t>
            </w:r>
          </w:p>
          <w:p w14:paraId="2AA40D21" w14:textId="139ED491" w:rsidR="007E21CE" w:rsidRDefault="007E21CE" w:rsidP="009B721B">
            <w:r>
              <w:t>Label</w:t>
            </w:r>
          </w:p>
        </w:tc>
        <w:tc>
          <w:tcPr>
            <w:tcW w:w="1862" w:type="pct"/>
          </w:tcPr>
          <w:p w14:paraId="263C0E99" w14:textId="77777777" w:rsidR="007E21CE" w:rsidRDefault="006B60D4" w:rsidP="00C85CD8">
            <w:pPr>
              <w:pStyle w:val="HTMLPreformatted"/>
              <w:rPr>
                <w:rFonts w:ascii="Consolas" w:hAnsi="Consolas"/>
                <w:color w:val="000000"/>
              </w:rPr>
            </w:pPr>
            <w:proofErr w:type="spellStart"/>
            <w:r>
              <w:rPr>
                <w:rFonts w:ascii="Consolas" w:hAnsi="Consolas"/>
                <w:color w:val="000000"/>
              </w:rPr>
              <w:t>Packaging.</w:t>
            </w:r>
            <w:r w:rsidR="007E21CE" w:rsidRPr="007E21CE">
              <w:rPr>
                <w:rFonts w:ascii="Consolas" w:hAnsi="Consolas"/>
                <w:color w:val="000000"/>
              </w:rPr>
              <w:t>package_ndc</w:t>
            </w:r>
            <w:proofErr w:type="spellEnd"/>
          </w:p>
          <w:p w14:paraId="72986D86" w14:textId="69308960" w:rsidR="006B60D4" w:rsidRPr="007E21CE" w:rsidRDefault="006B60D4" w:rsidP="00C85CD8">
            <w:pPr>
              <w:pStyle w:val="HTMLPreformatted"/>
              <w:rPr>
                <w:rFonts w:ascii="Consolas" w:hAnsi="Consolas"/>
                <w:color w:val="000000"/>
              </w:rPr>
            </w:pPr>
            <w:proofErr w:type="spellStart"/>
            <w:r>
              <w:rPr>
                <w:rFonts w:ascii="Consolas" w:hAnsi="Consolas"/>
                <w:color w:val="000000"/>
              </w:rPr>
              <w:t>Openfda.</w:t>
            </w:r>
            <w:r w:rsidRPr="007E21CE">
              <w:rPr>
                <w:rFonts w:ascii="Consolas" w:hAnsi="Consolas"/>
                <w:color w:val="000000"/>
              </w:rPr>
              <w:t>package_ndc</w:t>
            </w:r>
            <w:proofErr w:type="spellEnd"/>
          </w:p>
        </w:tc>
      </w:tr>
      <w:tr w:rsidR="007E21CE" w14:paraId="0622C6AE" w14:textId="77777777" w:rsidTr="007E21CE">
        <w:tc>
          <w:tcPr>
            <w:tcW w:w="811" w:type="pct"/>
          </w:tcPr>
          <w:p w14:paraId="1DD078C0" w14:textId="52445F40" w:rsidR="007E21CE" w:rsidRDefault="007E21CE" w:rsidP="007E21CE">
            <w:r>
              <w:t>Index</w:t>
            </w:r>
          </w:p>
        </w:tc>
        <w:tc>
          <w:tcPr>
            <w:tcW w:w="811" w:type="pct"/>
          </w:tcPr>
          <w:p w14:paraId="3B33A848" w14:textId="4EFB67F8" w:rsidR="007E21CE" w:rsidRDefault="007E21CE" w:rsidP="007E21CE">
            <w:r>
              <w:t xml:space="preserve">Unique substance ID </w:t>
            </w:r>
          </w:p>
        </w:tc>
        <w:tc>
          <w:tcPr>
            <w:tcW w:w="868" w:type="pct"/>
          </w:tcPr>
          <w:p w14:paraId="1E3145CB" w14:textId="77777777" w:rsidR="007E21CE" w:rsidRPr="007E21CE" w:rsidRDefault="007E21CE" w:rsidP="007E21CE">
            <w:pPr>
              <w:pStyle w:val="HTMLPreformatted"/>
              <w:rPr>
                <w:rFonts w:asciiTheme="minorHAnsi" w:hAnsiTheme="minorHAnsi" w:cstheme="minorHAnsi"/>
                <w:color w:val="000000"/>
              </w:rPr>
            </w:pPr>
            <w:r w:rsidRPr="007E21CE">
              <w:rPr>
                <w:rFonts w:asciiTheme="minorHAnsi" w:hAnsiTheme="minorHAnsi" w:cstheme="minorHAnsi"/>
                <w:color w:val="000000"/>
              </w:rPr>
              <w:t>W7TTW573JJ</w:t>
            </w:r>
          </w:p>
          <w:p w14:paraId="47CBAE9E" w14:textId="77777777" w:rsidR="007E21CE" w:rsidRPr="007E21CE" w:rsidRDefault="007E21CE" w:rsidP="007E21CE">
            <w:pPr>
              <w:rPr>
                <w:rFonts w:cstheme="minorHAnsi"/>
              </w:rPr>
            </w:pPr>
          </w:p>
        </w:tc>
        <w:tc>
          <w:tcPr>
            <w:tcW w:w="648" w:type="pct"/>
          </w:tcPr>
          <w:p w14:paraId="26D30600" w14:textId="173CFF84" w:rsidR="006B60D4" w:rsidRDefault="007E21CE" w:rsidP="007E21CE">
            <w:r>
              <w:t>NDC</w:t>
            </w:r>
          </w:p>
          <w:p w14:paraId="6BF6C2C8" w14:textId="06132083" w:rsidR="007E21CE" w:rsidRDefault="007E21CE" w:rsidP="007E21CE">
            <w:r>
              <w:t>Label</w:t>
            </w:r>
          </w:p>
        </w:tc>
        <w:tc>
          <w:tcPr>
            <w:tcW w:w="1862" w:type="pct"/>
          </w:tcPr>
          <w:p w14:paraId="749B5542" w14:textId="074589CB" w:rsidR="007E21CE" w:rsidRPr="007E21CE" w:rsidRDefault="007E21CE" w:rsidP="007E21CE">
            <w:pPr>
              <w:pStyle w:val="HTMLPreformatted"/>
              <w:rPr>
                <w:rFonts w:ascii="Consolas" w:hAnsi="Consolas"/>
                <w:color w:val="000000"/>
              </w:rPr>
            </w:pPr>
            <w:proofErr w:type="spellStart"/>
            <w:r w:rsidRPr="007E21CE">
              <w:rPr>
                <w:rFonts w:ascii="Consolas" w:hAnsi="Consolas"/>
              </w:rPr>
              <w:t>Openfda.</w:t>
            </w:r>
            <w:r w:rsidRPr="007E21CE">
              <w:rPr>
                <w:rFonts w:ascii="Consolas" w:hAnsi="Consolas"/>
                <w:color w:val="000000"/>
              </w:rPr>
              <w:t>unii</w:t>
            </w:r>
            <w:proofErr w:type="spellEnd"/>
          </w:p>
        </w:tc>
      </w:tr>
    </w:tbl>
    <w:p w14:paraId="705153D2" w14:textId="77777777" w:rsidR="00E35F84" w:rsidRPr="00E35F84" w:rsidRDefault="00E35F84" w:rsidP="00E35F84"/>
    <w:p w14:paraId="16C4D320" w14:textId="1A231AC3" w:rsidR="00E35F84" w:rsidRDefault="00E35F84" w:rsidP="00E35F84"/>
    <w:p w14:paraId="4FC659F8" w14:textId="4C358532" w:rsidR="006B60D4" w:rsidRDefault="006B60D4" w:rsidP="006B60D4">
      <w:pPr>
        <w:pStyle w:val="Heading1"/>
      </w:pPr>
      <w:r>
        <w:lastRenderedPageBreak/>
        <w:t>Note:</w:t>
      </w:r>
    </w:p>
    <w:p w14:paraId="3FEA1ED4" w14:textId="6164CFC5" w:rsidR="006B60D4" w:rsidRDefault="006B60D4" w:rsidP="006B60D4">
      <w:pPr>
        <w:pStyle w:val="ListParagraph"/>
        <w:numPr>
          <w:ilvl w:val="0"/>
          <w:numId w:val="1"/>
        </w:numPr>
      </w:pPr>
      <w:r>
        <w:t>Flatten out table: if list in list, convert to 1 long list</w:t>
      </w:r>
    </w:p>
    <w:p w14:paraId="7383AD60" w14:textId="5906B983" w:rsidR="006B60D4" w:rsidRDefault="006B60D4" w:rsidP="006B60D4">
      <w:pPr>
        <w:pStyle w:val="ListParagraph"/>
        <w:numPr>
          <w:ilvl w:val="0"/>
          <w:numId w:val="1"/>
        </w:numPr>
      </w:pPr>
      <w:r>
        <w:t xml:space="preserve">If output has unit, add an additional column, </w:t>
      </w:r>
    </w:p>
    <w:p w14:paraId="7207C51B" w14:textId="5B62CB0A" w:rsidR="006B60D4" w:rsidRDefault="006B60D4" w:rsidP="006B60D4">
      <w:pPr>
        <w:pStyle w:val="ListParagraph"/>
        <w:numPr>
          <w:ilvl w:val="1"/>
          <w:numId w:val="1"/>
        </w:numPr>
      </w:pPr>
      <w:proofErr w:type="spellStart"/>
      <w:r>
        <w:t>ie</w:t>
      </w:r>
      <w:proofErr w:type="spellEnd"/>
      <w:r>
        <w:t xml:space="preserve">: API concentration : 10 mg/mL =&gt; { API Concentration:10, API </w:t>
      </w:r>
      <w:proofErr w:type="spellStart"/>
      <w:r>
        <w:t>Conc_unit:mg</w:t>
      </w:r>
      <w:proofErr w:type="spellEnd"/>
      <w:r>
        <w:t>/mL}</w:t>
      </w:r>
    </w:p>
    <w:p w14:paraId="29C5C268" w14:textId="25758EA6" w:rsidR="00E35F84" w:rsidRDefault="000013DD" w:rsidP="000013DD">
      <w:pPr>
        <w:pStyle w:val="Heading1"/>
      </w:pPr>
      <w:r>
        <w:t>Test API for Query:</w:t>
      </w:r>
    </w:p>
    <w:p w14:paraId="29EE3745" w14:textId="0C3B9EA2" w:rsidR="000013DD" w:rsidRDefault="000013DD" w:rsidP="000013DD">
      <w:pPr>
        <w:pStyle w:val="ListParagraph"/>
        <w:numPr>
          <w:ilvl w:val="0"/>
          <w:numId w:val="2"/>
        </w:numPr>
      </w:pPr>
      <w:r>
        <w:t>Midazolam</w:t>
      </w:r>
    </w:p>
    <w:p w14:paraId="664176CE" w14:textId="0E773864" w:rsidR="000013DD" w:rsidRDefault="000013DD" w:rsidP="000013DD">
      <w:pPr>
        <w:pStyle w:val="ListParagraph"/>
        <w:numPr>
          <w:ilvl w:val="0"/>
          <w:numId w:val="2"/>
        </w:numPr>
      </w:pPr>
      <w:r>
        <w:t>Cisatracurium</w:t>
      </w:r>
    </w:p>
    <w:p w14:paraId="0EBAFF2C" w14:textId="2B7D44A7" w:rsidR="000013DD" w:rsidRDefault="000013DD" w:rsidP="000013DD">
      <w:pPr>
        <w:pStyle w:val="ListParagraph"/>
        <w:numPr>
          <w:ilvl w:val="0"/>
          <w:numId w:val="2"/>
        </w:numPr>
      </w:pPr>
      <w:r>
        <w:t>Propofol</w:t>
      </w:r>
    </w:p>
    <w:p w14:paraId="7FBF7ED9" w14:textId="1382CDC5" w:rsidR="004A6735" w:rsidRDefault="004A6735" w:rsidP="004A6735"/>
    <w:p w14:paraId="6E8431BF" w14:textId="61D9527F" w:rsidR="004A6735" w:rsidRDefault="004A6735" w:rsidP="004A6735">
      <w:pPr>
        <w:pStyle w:val="Heading1"/>
      </w:pPr>
      <w:r>
        <w:t xml:space="preserve">Open FDA </w:t>
      </w:r>
      <w:r>
        <w:t>Query parameters</w:t>
      </w:r>
    </w:p>
    <w:p w14:paraId="60756924" w14:textId="77777777" w:rsidR="004A6735" w:rsidRDefault="004A6735" w:rsidP="004A6735">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API supports five query parameters. The basic building block of queries is the search parameter. Use it to “filter” requests to the API by looking in specific fields for matches. Each endpoint has its own unique fields that can be searched.</w:t>
      </w:r>
    </w:p>
    <w:p w14:paraId="134F748E" w14:textId="77777777" w:rsidR="004A6735" w:rsidRDefault="004A6735" w:rsidP="004A6735">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search: What to search for, in which fields. If you don’t specify a field to search, the API will search in every field.</w:t>
      </w:r>
    </w:p>
    <w:p w14:paraId="6A372355" w14:textId="77777777" w:rsidR="004A6735" w:rsidRDefault="004A6735" w:rsidP="004A6735">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sort: Sort the results of the search by the specified field in ascending or descending order by using the :</w:t>
      </w:r>
      <w:proofErr w:type="spellStart"/>
      <w:r>
        <w:rPr>
          <w:rFonts w:ascii="Helvetica" w:hAnsi="Helvetica" w:cs="Helvetica"/>
          <w:color w:val="000000"/>
          <w:sz w:val="21"/>
          <w:szCs w:val="21"/>
        </w:rPr>
        <w:t>asc</w:t>
      </w:r>
      <w:proofErr w:type="spellEnd"/>
      <w:r>
        <w:rPr>
          <w:rFonts w:ascii="Helvetica" w:hAnsi="Helvetica" w:cs="Helvetica"/>
          <w:color w:val="000000"/>
          <w:sz w:val="21"/>
          <w:szCs w:val="21"/>
        </w:rPr>
        <w:t xml:space="preserve"> or :desc modifier.</w:t>
      </w:r>
    </w:p>
    <w:p w14:paraId="6053531C" w14:textId="77777777" w:rsidR="004A6735" w:rsidRDefault="004A6735" w:rsidP="004A6735">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count: Count the number of unique values of a certain field, for all the records that matched the search parameter. By default, the API returns the 1000 most frequent values.</w:t>
      </w:r>
    </w:p>
    <w:p w14:paraId="77A85433" w14:textId="77777777" w:rsidR="004A6735" w:rsidRDefault="004A6735" w:rsidP="004A6735">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limit: Return up to this number of records that match the search parameter. Currently, the largest allowed value for the limit parameter is 1000.</w:t>
      </w:r>
    </w:p>
    <w:p w14:paraId="0FB33279" w14:textId="77777777" w:rsidR="004A6735" w:rsidRDefault="004A6735" w:rsidP="004A6735">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skip: Skip this number of records that match the search parameter, then return the matching records that follow. Use in combination with limit to paginate results. Currently, the largest allowed value for the skip parameter is 25000. See Paging if you require paging through larger result sets.</w:t>
      </w:r>
    </w:p>
    <w:p w14:paraId="68A40EDE" w14:textId="77777777" w:rsidR="004A6735" w:rsidRDefault="004A6735" w:rsidP="004A6735">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search=</w:t>
      </w:r>
      <w:proofErr w:type="spellStart"/>
      <w:r>
        <w:rPr>
          <w:rFonts w:ascii="Helvetica" w:hAnsi="Helvetica" w:cs="Helvetica"/>
          <w:color w:val="000000"/>
          <w:sz w:val="21"/>
          <w:szCs w:val="21"/>
        </w:rPr>
        <w:t>field:term</w:t>
      </w:r>
      <w:proofErr w:type="spellEnd"/>
      <w:r>
        <w:rPr>
          <w:rFonts w:ascii="Helvetica" w:hAnsi="Helvetica" w:cs="Helvetica"/>
          <w:color w:val="000000"/>
          <w:sz w:val="21"/>
          <w:szCs w:val="21"/>
        </w:rPr>
        <w:t>: Search within a specific field for a term.</w:t>
      </w:r>
    </w:p>
    <w:p w14:paraId="78DB3C5A" w14:textId="77777777" w:rsidR="004A6735" w:rsidRDefault="004A6735" w:rsidP="004A6735">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search=</w:t>
      </w:r>
      <w:proofErr w:type="spellStart"/>
      <w:r>
        <w:rPr>
          <w:rFonts w:ascii="Helvetica" w:hAnsi="Helvetica" w:cs="Helvetica"/>
          <w:color w:val="000000"/>
          <w:sz w:val="21"/>
          <w:szCs w:val="21"/>
        </w:rPr>
        <w:t>field:term+AND+field:term</w:t>
      </w:r>
      <w:proofErr w:type="spellEnd"/>
      <w:r>
        <w:rPr>
          <w:rFonts w:ascii="Helvetica" w:hAnsi="Helvetica" w:cs="Helvetica"/>
          <w:color w:val="000000"/>
          <w:sz w:val="21"/>
          <w:szCs w:val="21"/>
        </w:rPr>
        <w:t>: Search for records that match both terms.</w:t>
      </w:r>
    </w:p>
    <w:p w14:paraId="0DA74382" w14:textId="77777777" w:rsidR="004A6735" w:rsidRDefault="004A6735" w:rsidP="004A6735">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search=</w:t>
      </w:r>
      <w:proofErr w:type="spellStart"/>
      <w:r>
        <w:rPr>
          <w:rFonts w:ascii="Helvetica" w:hAnsi="Helvetica" w:cs="Helvetica"/>
          <w:color w:val="000000"/>
          <w:sz w:val="21"/>
          <w:szCs w:val="21"/>
        </w:rPr>
        <w:t>field:term+field:term</w:t>
      </w:r>
      <w:proofErr w:type="spellEnd"/>
      <w:r>
        <w:rPr>
          <w:rFonts w:ascii="Helvetica" w:hAnsi="Helvetica" w:cs="Helvetica"/>
          <w:color w:val="000000"/>
          <w:sz w:val="21"/>
          <w:szCs w:val="21"/>
        </w:rPr>
        <w:t>: Search for records that match either of two terms.</w:t>
      </w:r>
    </w:p>
    <w:p w14:paraId="64D57A9C" w14:textId="77777777" w:rsidR="004A6735" w:rsidRDefault="004A6735" w:rsidP="004A6735">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sort=</w:t>
      </w:r>
      <w:proofErr w:type="spellStart"/>
      <w:r>
        <w:rPr>
          <w:rFonts w:ascii="Helvetica" w:hAnsi="Helvetica" w:cs="Helvetica"/>
          <w:color w:val="000000"/>
          <w:sz w:val="21"/>
          <w:szCs w:val="21"/>
        </w:rPr>
        <w:t>report_date:desc</w:t>
      </w:r>
      <w:proofErr w:type="spellEnd"/>
      <w:r>
        <w:rPr>
          <w:rFonts w:ascii="Helvetica" w:hAnsi="Helvetica" w:cs="Helvetica"/>
          <w:color w:val="000000"/>
          <w:sz w:val="21"/>
          <w:szCs w:val="21"/>
        </w:rPr>
        <w:t>: Sort records by a specific field in descending order.</w:t>
      </w:r>
    </w:p>
    <w:p w14:paraId="6CCDAF33" w14:textId="77777777" w:rsidR="004A6735" w:rsidRDefault="004A6735" w:rsidP="004A6735">
      <w:pPr>
        <w:numPr>
          <w:ilvl w:val="0"/>
          <w:numId w:val="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search=</w:t>
      </w:r>
      <w:proofErr w:type="spellStart"/>
      <w:r>
        <w:rPr>
          <w:rFonts w:ascii="Helvetica" w:hAnsi="Helvetica" w:cs="Helvetica"/>
          <w:color w:val="000000"/>
          <w:sz w:val="21"/>
          <w:szCs w:val="21"/>
        </w:rPr>
        <w:t>field:term&amp;count</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another_field</w:t>
      </w:r>
      <w:proofErr w:type="spellEnd"/>
      <w:r>
        <w:rPr>
          <w:rFonts w:ascii="Helvetica" w:hAnsi="Helvetica" w:cs="Helvetica"/>
          <w:color w:val="000000"/>
          <w:sz w:val="21"/>
          <w:szCs w:val="21"/>
        </w:rPr>
        <w:t>: Search for matching records. Then within that set of records, count the number of times that the unique values of a field appear.</w:t>
      </w:r>
    </w:p>
    <w:p w14:paraId="1C1CADD9" w14:textId="77777777" w:rsidR="004A6735" w:rsidRDefault="004A6735" w:rsidP="004A6735"/>
    <w:p w14:paraId="632008C5" w14:textId="77777777" w:rsidR="000013DD" w:rsidRPr="000013DD" w:rsidRDefault="000013DD" w:rsidP="000013DD"/>
    <w:sectPr w:rsidR="000013DD" w:rsidRPr="000013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3D47" w14:textId="77777777" w:rsidR="0048294C" w:rsidRDefault="0048294C" w:rsidP="006B60D4">
      <w:pPr>
        <w:spacing w:after="0" w:line="240" w:lineRule="auto"/>
      </w:pPr>
      <w:r>
        <w:separator/>
      </w:r>
    </w:p>
  </w:endnote>
  <w:endnote w:type="continuationSeparator" w:id="0">
    <w:p w14:paraId="1142F367" w14:textId="77777777" w:rsidR="0048294C" w:rsidRDefault="0048294C" w:rsidP="006B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8FC5" w14:textId="77777777" w:rsidR="0048294C" w:rsidRDefault="0048294C" w:rsidP="006B60D4">
      <w:pPr>
        <w:spacing w:after="0" w:line="240" w:lineRule="auto"/>
      </w:pPr>
      <w:r>
        <w:separator/>
      </w:r>
    </w:p>
  </w:footnote>
  <w:footnote w:type="continuationSeparator" w:id="0">
    <w:p w14:paraId="61853C01" w14:textId="77777777" w:rsidR="0048294C" w:rsidRDefault="0048294C" w:rsidP="006B6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1607" w14:textId="7D6DFA98" w:rsidR="006B60D4" w:rsidRDefault="006B60D4" w:rsidP="006B60D4">
    <w:pPr>
      <w:pStyle w:val="Heading1"/>
    </w:pPr>
    <w:proofErr w:type="spellStart"/>
    <w:r>
      <w:t>OpenFDA</w:t>
    </w:r>
    <w:proofErr w:type="spellEnd"/>
    <w:r>
      <w:t xml:space="preserve"> Formulation Project Plan</w:t>
    </w:r>
  </w:p>
  <w:p w14:paraId="7F3382DD" w14:textId="1DF282B7" w:rsidR="006B60D4" w:rsidRPr="006B60D4" w:rsidRDefault="00564A5C" w:rsidP="006B60D4">
    <w:r>
      <w:t>Jon S. and Dao V.</w:t>
    </w:r>
  </w:p>
  <w:p w14:paraId="594A4551" w14:textId="77777777" w:rsidR="006B60D4" w:rsidRDefault="006B6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6E3F"/>
    <w:multiLevelType w:val="hybridMultilevel"/>
    <w:tmpl w:val="E0E078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CA3466"/>
    <w:multiLevelType w:val="hybridMultilevel"/>
    <w:tmpl w:val="B3EE6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44425"/>
    <w:multiLevelType w:val="multilevel"/>
    <w:tmpl w:val="FA68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71276"/>
    <w:multiLevelType w:val="multilevel"/>
    <w:tmpl w:val="C0A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84"/>
    <w:rsid w:val="000013DD"/>
    <w:rsid w:val="0048294C"/>
    <w:rsid w:val="004A6735"/>
    <w:rsid w:val="004E6AD6"/>
    <w:rsid w:val="00564A5C"/>
    <w:rsid w:val="006B60D4"/>
    <w:rsid w:val="007E21CE"/>
    <w:rsid w:val="009B721B"/>
    <w:rsid w:val="00C85CD8"/>
    <w:rsid w:val="00E35F84"/>
    <w:rsid w:val="00E66A92"/>
    <w:rsid w:val="00FB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7B7D"/>
  <w15:chartTrackingRefBased/>
  <w15:docId w15:val="{C82C5B53-A64C-41F2-A5AE-6C4E0BD9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67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5F84"/>
    <w:pPr>
      <w:ind w:left="720"/>
      <w:contextualSpacing/>
    </w:pPr>
  </w:style>
  <w:style w:type="table" w:styleId="TableGrid">
    <w:name w:val="Table Grid"/>
    <w:basedOn w:val="TableNormal"/>
    <w:uiPriority w:val="39"/>
    <w:rsid w:val="00E3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6AD6"/>
    <w:rPr>
      <w:rFonts w:ascii="Courier New" w:eastAsia="Times New Roman" w:hAnsi="Courier New" w:cs="Courier New"/>
      <w:sz w:val="20"/>
      <w:szCs w:val="20"/>
    </w:rPr>
  </w:style>
  <w:style w:type="paragraph" w:styleId="Header">
    <w:name w:val="header"/>
    <w:basedOn w:val="Normal"/>
    <w:link w:val="HeaderChar"/>
    <w:uiPriority w:val="99"/>
    <w:unhideWhenUsed/>
    <w:rsid w:val="006B6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0D4"/>
  </w:style>
  <w:style w:type="paragraph" w:styleId="Footer">
    <w:name w:val="footer"/>
    <w:basedOn w:val="Normal"/>
    <w:link w:val="FooterChar"/>
    <w:uiPriority w:val="99"/>
    <w:unhideWhenUsed/>
    <w:rsid w:val="006B6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0D4"/>
  </w:style>
  <w:style w:type="character" w:customStyle="1" w:styleId="Heading3Char">
    <w:name w:val="Heading 3 Char"/>
    <w:basedOn w:val="DefaultParagraphFont"/>
    <w:link w:val="Heading3"/>
    <w:uiPriority w:val="9"/>
    <w:semiHidden/>
    <w:rsid w:val="004A673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A67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1435">
      <w:bodyDiv w:val="1"/>
      <w:marLeft w:val="0"/>
      <w:marRight w:val="0"/>
      <w:marTop w:val="0"/>
      <w:marBottom w:val="0"/>
      <w:divBdr>
        <w:top w:val="none" w:sz="0" w:space="0" w:color="auto"/>
        <w:left w:val="none" w:sz="0" w:space="0" w:color="auto"/>
        <w:bottom w:val="none" w:sz="0" w:space="0" w:color="auto"/>
        <w:right w:val="none" w:sz="0" w:space="0" w:color="auto"/>
      </w:divBdr>
    </w:div>
    <w:div w:id="268004502">
      <w:bodyDiv w:val="1"/>
      <w:marLeft w:val="0"/>
      <w:marRight w:val="0"/>
      <w:marTop w:val="0"/>
      <w:marBottom w:val="0"/>
      <w:divBdr>
        <w:top w:val="none" w:sz="0" w:space="0" w:color="auto"/>
        <w:left w:val="none" w:sz="0" w:space="0" w:color="auto"/>
        <w:bottom w:val="none" w:sz="0" w:space="0" w:color="auto"/>
        <w:right w:val="none" w:sz="0" w:space="0" w:color="auto"/>
      </w:divBdr>
    </w:div>
    <w:div w:id="455485290">
      <w:bodyDiv w:val="1"/>
      <w:marLeft w:val="0"/>
      <w:marRight w:val="0"/>
      <w:marTop w:val="0"/>
      <w:marBottom w:val="0"/>
      <w:divBdr>
        <w:top w:val="none" w:sz="0" w:space="0" w:color="auto"/>
        <w:left w:val="none" w:sz="0" w:space="0" w:color="auto"/>
        <w:bottom w:val="none" w:sz="0" w:space="0" w:color="auto"/>
        <w:right w:val="none" w:sz="0" w:space="0" w:color="auto"/>
      </w:divBdr>
    </w:div>
    <w:div w:id="576015943">
      <w:bodyDiv w:val="1"/>
      <w:marLeft w:val="0"/>
      <w:marRight w:val="0"/>
      <w:marTop w:val="0"/>
      <w:marBottom w:val="0"/>
      <w:divBdr>
        <w:top w:val="none" w:sz="0" w:space="0" w:color="auto"/>
        <w:left w:val="none" w:sz="0" w:space="0" w:color="auto"/>
        <w:bottom w:val="none" w:sz="0" w:space="0" w:color="auto"/>
        <w:right w:val="none" w:sz="0" w:space="0" w:color="auto"/>
      </w:divBdr>
    </w:div>
    <w:div w:id="622810690">
      <w:bodyDiv w:val="1"/>
      <w:marLeft w:val="0"/>
      <w:marRight w:val="0"/>
      <w:marTop w:val="0"/>
      <w:marBottom w:val="0"/>
      <w:divBdr>
        <w:top w:val="none" w:sz="0" w:space="0" w:color="auto"/>
        <w:left w:val="none" w:sz="0" w:space="0" w:color="auto"/>
        <w:bottom w:val="none" w:sz="0" w:space="0" w:color="auto"/>
        <w:right w:val="none" w:sz="0" w:space="0" w:color="auto"/>
      </w:divBdr>
      <w:divsChild>
        <w:div w:id="85852369">
          <w:marLeft w:val="0"/>
          <w:marRight w:val="0"/>
          <w:marTop w:val="0"/>
          <w:marBottom w:val="0"/>
          <w:divBdr>
            <w:top w:val="single" w:sz="6" w:space="4" w:color="auto"/>
            <w:left w:val="single" w:sz="6" w:space="4" w:color="auto"/>
            <w:bottom w:val="single" w:sz="6" w:space="4" w:color="auto"/>
            <w:right w:val="single" w:sz="6" w:space="4" w:color="auto"/>
          </w:divBdr>
          <w:divsChild>
            <w:div w:id="1515266287">
              <w:marLeft w:val="0"/>
              <w:marRight w:val="0"/>
              <w:marTop w:val="0"/>
              <w:marBottom w:val="0"/>
              <w:divBdr>
                <w:top w:val="none" w:sz="0" w:space="0" w:color="auto"/>
                <w:left w:val="none" w:sz="0" w:space="0" w:color="auto"/>
                <w:bottom w:val="none" w:sz="0" w:space="0" w:color="auto"/>
                <w:right w:val="none" w:sz="0" w:space="0" w:color="auto"/>
              </w:divBdr>
              <w:divsChild>
                <w:div w:id="8112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128">
          <w:marLeft w:val="0"/>
          <w:marRight w:val="0"/>
          <w:marTop w:val="0"/>
          <w:marBottom w:val="0"/>
          <w:divBdr>
            <w:top w:val="single" w:sz="6" w:space="4" w:color="auto"/>
            <w:left w:val="single" w:sz="6" w:space="4" w:color="auto"/>
            <w:bottom w:val="single" w:sz="6" w:space="4" w:color="auto"/>
            <w:right w:val="single" w:sz="6" w:space="4" w:color="auto"/>
          </w:divBdr>
          <w:divsChild>
            <w:div w:id="1613436699">
              <w:marLeft w:val="0"/>
              <w:marRight w:val="0"/>
              <w:marTop w:val="0"/>
              <w:marBottom w:val="0"/>
              <w:divBdr>
                <w:top w:val="none" w:sz="0" w:space="0" w:color="auto"/>
                <w:left w:val="none" w:sz="0" w:space="0" w:color="auto"/>
                <w:bottom w:val="none" w:sz="0" w:space="0" w:color="auto"/>
                <w:right w:val="none" w:sz="0" w:space="0" w:color="auto"/>
              </w:divBdr>
              <w:divsChild>
                <w:div w:id="5738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3126">
      <w:bodyDiv w:val="1"/>
      <w:marLeft w:val="0"/>
      <w:marRight w:val="0"/>
      <w:marTop w:val="0"/>
      <w:marBottom w:val="0"/>
      <w:divBdr>
        <w:top w:val="none" w:sz="0" w:space="0" w:color="auto"/>
        <w:left w:val="none" w:sz="0" w:space="0" w:color="auto"/>
        <w:bottom w:val="none" w:sz="0" w:space="0" w:color="auto"/>
        <w:right w:val="none" w:sz="0" w:space="0" w:color="auto"/>
      </w:divBdr>
    </w:div>
    <w:div w:id="1393309493">
      <w:bodyDiv w:val="1"/>
      <w:marLeft w:val="0"/>
      <w:marRight w:val="0"/>
      <w:marTop w:val="0"/>
      <w:marBottom w:val="0"/>
      <w:divBdr>
        <w:top w:val="none" w:sz="0" w:space="0" w:color="auto"/>
        <w:left w:val="none" w:sz="0" w:space="0" w:color="auto"/>
        <w:bottom w:val="none" w:sz="0" w:space="0" w:color="auto"/>
        <w:right w:val="none" w:sz="0" w:space="0" w:color="auto"/>
      </w:divBdr>
    </w:div>
    <w:div w:id="1595671522">
      <w:bodyDiv w:val="1"/>
      <w:marLeft w:val="0"/>
      <w:marRight w:val="0"/>
      <w:marTop w:val="0"/>
      <w:marBottom w:val="0"/>
      <w:divBdr>
        <w:top w:val="none" w:sz="0" w:space="0" w:color="auto"/>
        <w:left w:val="none" w:sz="0" w:space="0" w:color="auto"/>
        <w:bottom w:val="none" w:sz="0" w:space="0" w:color="auto"/>
        <w:right w:val="none" w:sz="0" w:space="0" w:color="auto"/>
      </w:divBdr>
    </w:div>
    <w:div w:id="1909146175">
      <w:bodyDiv w:val="1"/>
      <w:marLeft w:val="0"/>
      <w:marRight w:val="0"/>
      <w:marTop w:val="0"/>
      <w:marBottom w:val="0"/>
      <w:divBdr>
        <w:top w:val="none" w:sz="0" w:space="0" w:color="auto"/>
        <w:left w:val="none" w:sz="0" w:space="0" w:color="auto"/>
        <w:bottom w:val="none" w:sz="0" w:space="0" w:color="auto"/>
        <w:right w:val="none" w:sz="0" w:space="0" w:color="auto"/>
      </w:divBdr>
    </w:div>
    <w:div w:id="1982923921">
      <w:bodyDiv w:val="1"/>
      <w:marLeft w:val="0"/>
      <w:marRight w:val="0"/>
      <w:marTop w:val="0"/>
      <w:marBottom w:val="0"/>
      <w:divBdr>
        <w:top w:val="none" w:sz="0" w:space="0" w:color="auto"/>
        <w:left w:val="none" w:sz="0" w:space="0" w:color="auto"/>
        <w:bottom w:val="none" w:sz="0" w:space="0" w:color="auto"/>
        <w:right w:val="none" w:sz="0" w:space="0" w:color="auto"/>
      </w:divBdr>
    </w:div>
    <w:div w:id="2022510336">
      <w:bodyDiv w:val="1"/>
      <w:marLeft w:val="0"/>
      <w:marRight w:val="0"/>
      <w:marTop w:val="0"/>
      <w:marBottom w:val="0"/>
      <w:divBdr>
        <w:top w:val="none" w:sz="0" w:space="0" w:color="auto"/>
        <w:left w:val="none" w:sz="0" w:space="0" w:color="auto"/>
        <w:bottom w:val="none" w:sz="0" w:space="0" w:color="auto"/>
        <w:right w:val="none" w:sz="0" w:space="0" w:color="auto"/>
      </w:divBdr>
    </w:div>
    <w:div w:id="210156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Dao Vu</dc:creator>
  <cp:keywords/>
  <dc:description/>
  <cp:lastModifiedBy>Nguyen Dao Vu</cp:lastModifiedBy>
  <cp:revision>4</cp:revision>
  <dcterms:created xsi:type="dcterms:W3CDTF">2021-04-19T17:45:00Z</dcterms:created>
  <dcterms:modified xsi:type="dcterms:W3CDTF">2021-04-22T15:24:00Z</dcterms:modified>
</cp:coreProperties>
</file>