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692E4D" w:rsidRDefault="00692E4D" w:rsidP="00692E4D">
      <w:pPr>
        <w:rPr>
          <w:lang w:val="vi-VN"/>
        </w:rPr>
      </w:pPr>
      <w:r>
        <w:rPr>
          <w:lang w:val="vi-VN"/>
        </w:rPr>
        <w:t>Báo cáo “Đánh giá khoa học, công nghệ và đổi mới sáng tạo ở Việt Nam” của Ngân hàng Thế giới (WB) và Tổ chức Hợp tác và Phát triển kinh tế (OECD) nhận định, Việt Nam có ít doanh nghiệp thực hiện hoạt động nghiên cứu và phát triển (R&amp;D), kinh phí cho các hoạt động R&amp;D chỉ chiếm một phần rất nhỏ trong nguồn tài chính của doanh nghiệp. Việc tiếp thu công nghệ mới thông qua hoạt động của các doanh nghiệp FDI cũng không đạt hiệu quả cao.</w:t>
      </w:r>
    </w:p>
    <w:p w:rsidR="001D1584" w:rsidRDefault="00692E4D" w:rsidP="00692E4D">
      <w:r>
        <w:rPr>
          <w:rStyle w:val="Emphasis"/>
          <w:rFonts w:eastAsiaTheme="majorEastAsia" w:cs="Times New Roman"/>
          <w:color w:val="000000"/>
          <w:szCs w:val="32"/>
          <w:lang w:val="vi-VN"/>
        </w:rPr>
        <w:t>Thứ ba, áp lực về tăng năng suất lao động.</w:t>
      </w:r>
      <w:r>
        <w:rPr>
          <w:lang w:val="vi-VN"/>
        </w:rPr>
        <w:t xml:space="preserve"> Hạn chế lớn nhất của thị trường lao động Việt Nam là năng suất lao động thấp. Năng suất lao động của Việt Nam đạt 9.894 USD (năm 2016), chỉ bằng 7% của Singapore; 17,6% của Malaysia; 36,5% của Thái Lan; 42,3% của Indonesia; 56,7% của Philippines, thậm chí bằng 87,4% năng suất lao động của Lào. Đặc biệt, từ sau khủng hoảng kinh tế thế giới năm 2008, tốc độ tăng năng suất trung bình của Việt Nam chỉ còn 3,9%/năm (so với hơn 5% thời kỳ trước đó). Năng suất lao động thấp được xem như là một hệ quả tất yếu của chất lượng nguồn lao động thấp và năng lực đổi mới sáng tạo yếu. Do đó, nâng cao năng suất lao động là đòi hỏi cấp bách để thị trường lao động phát triển, đáp ứng những yêu cầu mới của nền kinh tế dưới ảnh hưởng của CMCN 4.0. </w:t>
      </w:r>
      <w:r>
        <w:rPr>
          <w:lang w:val="vi-VN"/>
        </w:rPr>
        <w:lastRenderedPageBreak/>
        <w:t>Vấn đề đào tạo nguồn nhân lực chất lượng cao đáp ứng yêu cầu của Cuộc CMCN 4.0 cũng được xem là vấn đề trung tâm, thách thức lớn</w:t>
      </w:r>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444763"/>
    <w:rsid w:val="004626AC"/>
    <w:rsid w:val="00692E4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2019-06-02T13:16:00Z</dcterms:created>
  <dcterms:modified xsi:type="dcterms:W3CDTF">2019-06-02T13:16:00Z</dcterms:modified>
</cp:coreProperties>
</file>