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405871" w:rsidRDefault="00405871" w:rsidP="00405871">
      <w:pPr>
        <w:rPr>
          <w:lang w:val="vi-VN"/>
        </w:rPr>
      </w:pPr>
      <w:r>
        <w:rPr>
          <w:lang w:val="vi-VN"/>
        </w:rPr>
        <w:t>đối với Việt Nam. Việt Nam đang thiếu hụt lớn về nguồn nhân lực trong thị trường kỹ thuật số, trong lĩnh vực CNTT và công nghệ cao.</w:t>
      </w:r>
    </w:p>
    <w:p w:rsidR="00405871" w:rsidRDefault="00405871" w:rsidP="00405871">
      <w:pPr>
        <w:rPr>
          <w:lang w:val="vi-VN"/>
        </w:rPr>
      </w:pPr>
      <w:r>
        <w:rPr>
          <w:lang w:val="vi-VN"/>
        </w:rPr>
        <w:t>Việt Nam cần giải quyết được những thách thức về trình độ lao động, năng suất thấp để sẵn sàng đón nhận nền tảng khoa học công nghiệp 4.0. Nếu Việt Nam không quyết liệt cơ cấu lại kinh tế, đổi mới mô hình tăng trưởng đi đôi với phát triển nguồn nhân lực chất lượng cao và tăng cường năng lực khoa học - công nghệ, nguy cơ tụt hậu là rất lớn. Không chỉ bỏ lỡ thời cơ, cơ hội của CMCN 4.0, Việt Nam sẽ phải gánh chịu hệ quả tiêu cực của cuộc cách mạng như: sa lầy ở vị trí bất lợi trong phân công lao động quốc tế; hứng chịu hệ lụy của làn sóng di chuyển các ngành công nghệ cũ tiêu hao nhiều năng lượng và không thân thiện với môi trường do nhiều nước đẩy mạnh cơ cấu lại kinh tế gắn với đổi mới công nghệ.</w:t>
      </w:r>
    </w:p>
    <w:p w:rsidR="001D1584" w:rsidRDefault="001D1584" w:rsidP="00405871">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405871"/>
    <w:rsid w:val="00444763"/>
    <w:rsid w:val="004626AC"/>
    <w:rsid w:val="00692E4D"/>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2019-06-02T13:17:00Z</dcterms:created>
  <dcterms:modified xsi:type="dcterms:W3CDTF">2019-06-02T13:17:00Z</dcterms:modified>
</cp:coreProperties>
</file>