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A43E14" w:rsidRDefault="00A43E14" w:rsidP="00A43E14">
      <w:pPr>
        <w:rPr>
          <w:lang w:val="vi-VN"/>
        </w:rPr>
      </w:pPr>
      <w:r>
        <w:rPr>
          <w:lang w:val="vi-VN"/>
        </w:rPr>
        <w:t>chóng xây dựng và phát triển một cách thống nhất, phù hợp với thông lệ quốc tế về lưu trữ, phân tích, kết nối, lưu chuyển, tiếp cận và khai thác sử dụng thông tin. Tiếp tục cải thiện môi trường cạnh tranh kinh doanh để thúc đẩy sự phát triển của doanh nghiệp, tạo điều kiện cho doanh nghiệp nhanh chóng hấp thụ và phát triển được các công nghệ sản xuất mới.</w:t>
      </w:r>
    </w:p>
    <w:p w:rsidR="00A43E14" w:rsidRDefault="00A43E14" w:rsidP="00A43E14">
      <w:pPr>
        <w:rPr>
          <w:lang w:val="vi-VN"/>
        </w:rPr>
      </w:pPr>
      <w:r>
        <w:rPr>
          <w:lang w:val="vi-VN"/>
        </w:rPr>
        <w:t>Có thể nói, CMCN 4.0 đang mở ra nhiều cơ hội cho các nước, đặc biệt là các nước đang phát triển như Việt Nam, nâng cao năng suất và rút ngắn khoảng cách phát triển. Trong bối cảnh Việt Nam đang hội nhập sâu rộng vào nền kinh tế thế giới với việc hoàn tất nhiều hiệp định thương mại tự do quy mô lớn như Hiệp định Đối tác toàn diện và tiến bộ xuyên Thái Bình Dương (CPTPP), Hiệp định thương mại tự do (FTA) với Liên minh châu Âu (EU), Liên minh kinh tế Á - Âu..., việc tiếp cận thành tựu cách mạng sản xuất mới để tham gia hiệu quả chuỗi giá trị toàn cầu và đẩy mạnh công nghiệp hóa, hiện đại hóa là nhu cầu cấp thiết. Một quốc gia nghèo có thể phát triển nhanh và tạo nên sự “thần kỳ” nhờ vào hai động lực: </w:t>
      </w:r>
      <w:r>
        <w:rPr>
          <w:rStyle w:val="Emphasis"/>
          <w:rFonts w:eastAsiaTheme="majorEastAsia"/>
          <w:color w:val="000000"/>
          <w:szCs w:val="32"/>
          <w:lang w:val="vi-VN"/>
        </w:rPr>
        <w:t>Hội nhập quốc tế và nắm bắt CMCN 4.0</w:t>
      </w:r>
      <w:r>
        <w:rPr>
          <w:lang w:val="vi-VN"/>
        </w:rPr>
        <w:t>. Việt Nam đang ở vị trí rất thuận lợi để khai thác và phát huy mạnh mẽ hai động lực này. Với sức mạnh vươn lên, Việt Nam sẽ là quốc gia đi đầu và có những sáng tạo đột phá trong cả hội nhập và nắm bắt CMCN 4.0 trong tương lai.</w:t>
      </w:r>
    </w:p>
    <w:p w:rsidR="001D1584" w:rsidRDefault="001D1584" w:rsidP="00A43E14">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92E4D"/>
    <w:rsid w:val="00A43E14"/>
    <w:rsid w:val="00B462CD"/>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2019-06-02T13:20:00Z</dcterms:created>
  <dcterms:modified xsi:type="dcterms:W3CDTF">2019-06-02T13:20:00Z</dcterms:modified>
</cp:coreProperties>
</file>