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rPr>
          <w:rFonts w:hint="default" w:ascii="Times New Roman" w:hAnsi="Times New Roman" w:eastAsia="Times New Roman" w:cs="Times New Roman"/>
          <w:color w:val="1F1F1F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1F1F1F"/>
          <w:sz w:val="24"/>
          <w:szCs w:val="24"/>
          <w:lang w:val="en-US"/>
        </w:rPr>
        <w:t xml:space="preserve">DÀN Ý TIỂU LUẬN ITS: </w:t>
      </w:r>
      <w:r>
        <w:rPr>
          <w:rFonts w:hint="default" w:ascii="Times New Roman" w:hAnsi="Times New Roman" w:eastAsia="Times New Roman"/>
          <w:color w:val="1F1F1F"/>
          <w:sz w:val="24"/>
          <w:szCs w:val="24"/>
          <w:lang w:val="en-US"/>
        </w:rPr>
        <w:t>Khảo sát hệ thống xe buýt nhanh (BRT)</w:t>
      </w:r>
      <w:bookmarkStart w:id="0" w:name="_GoBack"/>
      <w:bookmarkEnd w:id="0"/>
    </w:p>
    <w:p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</w:rPr>
        <w:t>PHẦN MỞ ĐẦU</w:t>
      </w:r>
    </w:p>
    <w:p>
      <w:pPr>
        <w:spacing w:before="100" w:beforeAutospacing="1" w:after="0" w:line="240" w:lineRule="auto"/>
        <w:ind w:left="72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1.1. Tính cấp thiết của đề tài:</w:t>
      </w:r>
    </w:p>
    <w:p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Nêu tổng quan tình trạng ùn tắc, bùng nổ phương tiện cá nhân, ô nhiễm và sự quá tải của xe buýt truyền thống tại đô thị lớn.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Lý do chọn BRT: Chi phí đầu tư thấp, thời gian thi công nhanh hơn Metro, năng lực vận chuyển cao.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Khẳng định tầm quan trọng cốt lõi của ITS: Là yếu tố quyết định biến xe buýt thường thành xe buýt "nhanh".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spacing w:before="100" w:beforeAutospacing="1" w:after="0" w:line="240" w:lineRule="auto"/>
        <w:ind w:left="72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1.2. Mục tiêu nghiên cứu: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Hệ thống hóa cơ sở lý thuyết; phân tích luồng vận hành và dữ liệu của một tuyến BRT chuẩn; khảo sát thực trạng một tuyến cụ thể để đánh giá và đề xuất giải pháp.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spacing w:before="100" w:beforeAutospacing="1" w:after="0" w:line="240" w:lineRule="auto"/>
        <w:ind w:left="72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1.3. Đối tượng và phạm vi nghiên cứu:</w:t>
      </w:r>
    </w:p>
    <w:p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Đối tượng/Trọng tâm: Tập trung phân tích công nghệ ITS và mô hình vận hành.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Phạm vi: Các tuyến BRT đô thị, không đi sâu vào kết cấu vật liệu hạ tầng xây dựng.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</w:rPr>
        <w:t>CHƯƠNG 1: CƠ SỞ LÝ THUYẾT VỀ BRT VÀ HỆ THỐNG GIAO THÔNG THÔNG MINH (ITS)</w:t>
      </w:r>
    </w:p>
    <w:p>
      <w:pPr>
        <w:spacing w:before="100" w:beforeAutospacing="1" w:after="0" w:line="240" w:lineRule="auto"/>
        <w:ind w:left="72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1.1. Tổng quan về BRT (Bus Rapid Transit):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Định nghĩa, vai trò và các thành phần cốt lõi (Làn đường ưu tiên, trạm tiếp cận ngang bằng sàn, phương tiện sức chứa lớn).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spacing w:before="100" w:beforeAutospacing="1" w:after="0" w:line="240" w:lineRule="auto"/>
        <w:ind w:left="72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1.2. Khái niệm và vai trò của ITS trong giao thông công cộng: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Ứng dụng viễn thông, CNTT để giảm chi phí, cung cấp dữ liệu thời gian thực và nâng cao trải nghiệm khách hàng.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spacing w:before="100" w:beforeAutospacing="1" w:after="0" w:line="240" w:lineRule="auto"/>
        <w:ind w:left="72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1.3. Các công nghệ ITS nền tảng trong BRT (Trọng tâm):</w:t>
      </w:r>
    </w:p>
    <w:p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1F1F1F"/>
          <w:sz w:val="24"/>
          <w:szCs w:val="24"/>
        </w:rPr>
        <w:t>AVL (Automatic Vehicle Location) &amp; GPS / FMS: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Hệ thống định vị, theo dõi quỹ đạo, tốc độ và điều hành đội xe.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1F1F1F"/>
          <w:sz w:val="24"/>
          <w:szCs w:val="24"/>
        </w:rPr>
        <w:t>TSP (Transit Signal Priority):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Hệ thống ưu tiên tín hiệu giao thông, đồng bộ đèn tín hiệu để kéo dài đèn xanh/ngắt đèn đỏ cho BRT.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1F1F1F"/>
          <w:sz w:val="24"/>
          <w:szCs w:val="24"/>
        </w:rPr>
        <w:t>AFC (Automatic Fare Collection):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Hệ thống thu vé tự động (thẻ thông minh, QR) thực hiện thu phí tại nhà chờ (off-board).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1F1F1F"/>
          <w:sz w:val="24"/>
          <w:szCs w:val="24"/>
        </w:rPr>
        <w:t>PIS (Passenger Information System):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Bảng LED điện tử và ứng dụng di động cung cấp thời gian xe đến thực tế.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1F1F1F"/>
          <w:sz w:val="24"/>
          <w:szCs w:val="24"/>
        </w:rPr>
        <w:t>TMC (Traffic Management Center) &amp; CCTV: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Bộ não trung tâm thu thập dữ liệu và hệ thống camera giám sát an ninh, phạt nguội.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</w:rPr>
        <w:t>CHƯƠNG 2: MÔ HÌNH HÓA VÀ LUỒNG VẬN HÀNH HỆ THỐNG BRT</w:t>
      </w:r>
    </w:p>
    <w:p>
      <w:pPr>
        <w:spacing w:before="100" w:beforeAutospacing="1" w:after="0" w:line="240" w:lineRule="auto"/>
        <w:ind w:left="72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2.1. Các chỉ số đánh giá (KPIs) hệ thống BRT: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Phân tích Travel time (thời gian chuyến đi), Headway &amp; Spacing (giãn cách), Dwell time (thời gian dừng đỗ), Reliability (độ tin cậy), Rates of flow/Occupancy (lưu lượng, hệ số lấp đầy).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spacing w:before="100" w:beforeAutospacing="1" w:after="0" w:line="240" w:lineRule="auto"/>
        <w:ind w:left="72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2.2. Luồng vận hành hệ thống (System Flow/Pipeline):</w:t>
      </w:r>
    </w:p>
    <w:p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1F1F1F"/>
          <w:sz w:val="24"/>
          <w:szCs w:val="24"/>
        </w:rPr>
        <w:t>Dòng vật lý (Physical Flow):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Hành khách đến trạm → Quẹt vé (AFC) → Đợi xe (PIS) → Lên xe chạy làn ưu tiên → Kích hoạt TSP tại nút giao → Tới đích.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1F1F1F"/>
          <w:sz w:val="24"/>
          <w:szCs w:val="24"/>
        </w:rPr>
        <w:t>Dòng dữ liệu (Data Flow):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Dữ liệu vé và tọa độ xe truyền về TMC để phân tích; TMC đẩy dữ liệu ngược lại bảng LED (PIS).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spacing w:before="100" w:beforeAutospacing="1" w:after="0" w:line="240" w:lineRule="auto"/>
        <w:ind w:left="72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2.3. Mô hình hóa bài toán và Trường hợp minh họa (Use Cases):</w:t>
      </w:r>
    </w:p>
    <w:p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Nêu bài toán nút thắt cổ chai tại nút giao và mô hình dòng hành khách lên xuống xe.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1F1F1F"/>
          <w:sz w:val="24"/>
          <w:szCs w:val="24"/>
        </w:rPr>
        <w:t>Use case 1: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Khách đông, TMC nhận dữ liệu AFC và giảm Headway xuống 3 phút.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1F1F1F"/>
          <w:sz w:val="24"/>
          <w:szCs w:val="24"/>
        </w:rPr>
        <w:t>Use case 2: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Xe trễ giờ, cảm biến gửi tín hiệu yêu cầu TSP kéo dài đèn xanh thêm 10s.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</w:rPr>
        <w:t>CHƯƠNG 3: KHẢO SÁT THỰC TRẠNG VÀ ĐÁNH GIÁ (Ví dụ: Tuyến BRT 01 Hà Nội)</w:t>
      </w:r>
    </w:p>
    <w:p>
      <w:pPr>
        <w:spacing w:before="100" w:beforeAutospacing="1" w:after="0" w:line="240" w:lineRule="auto"/>
        <w:ind w:left="72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3.1. Khảo sát thực trạng ứng dụng ITS:</w:t>
      </w:r>
    </w:p>
    <w:p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Lập ma trận so sánh BRT với Xe buýt thường và Metro về: Tốc độ thương mại, CapEx (Vốn đầu tư), tính đúng giờ.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Khảo sát chi tiết việc vận hành hệ thống vé AFC, mức độ hiệu quả của TSP, và khả năng điều phối của TMC tại tuyến BRT thực tế.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spacing w:before="100" w:beforeAutospacing="1" w:after="0" w:line="240" w:lineRule="auto"/>
        <w:ind w:left="72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3.2. Điểm mạnh và Hiệu quả: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Rút ngắn thời gian di chuyển, giảm phát thải, hình thành thói quen giao thông công cộng hiện đại.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spacing w:before="100" w:beforeAutospacing="1" w:after="0" w:line="240" w:lineRule="auto"/>
        <w:ind w:left="72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3.3. Hạn chế, Rào cản và Yêu cầu chi phí:</w:t>
      </w:r>
    </w:p>
    <w:p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Giao cắt đồng mức nhiều khiến TSP kém hiệu quả; ý thức lấn làn BRT của phương tiện cá nhân.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Chiếm diện tích mặt cắt ngang đường; thiếu kết nối điểm đầu/cuối (First-mile &amp; Last-mile).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Thiếu tính liên thông vé (Interoperability) với Metro và xe buýt thường; gánh nặng chi phí duy tu hạ tầng và hệ thống Cloud/Server.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spacing w:before="100" w:beforeAutospacing="1" w:after="0" w:line="240" w:lineRule="auto"/>
        <w:ind w:left="72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3.4. Góc nhìn kỹ sư hệ thống ITS: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Đánh giá khó khăn trong bảo trì thiết bị (Maintenance/Health monitoring) phơi sáng ngoài trời và nguy cơ an toàn thông tin (Cybersecurity) vào hệ thống thanh toán/tín hiệu.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</w:rPr>
        <w:t>CHƯƠNG 4: ĐỀ XUẤT GIẢI PHÁP VÀ HƯỚNG PHÁT TRIỂN TƯƠNG LAI</w:t>
      </w:r>
    </w:p>
    <w:p>
      <w:pPr>
        <w:spacing w:before="100" w:beforeAutospacing="1" w:after="0" w:line="240" w:lineRule="auto"/>
        <w:ind w:left="72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4.1. Nhóm giải pháp Công nghệ &amp; Quản lý:</w:t>
      </w:r>
    </w:p>
    <w:p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Nâng cấp TSP tích hợp Trí tuệ nhân tạo (AI/IoT) điều chỉnh đèn linh hoạt theo mật độ.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Đẩy mạnh camera AI giám sát làn riêng để phạt nguội.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Tích hợp nền tảng MaaS (Mobility as a Service): Dùng chung 1 app/vé điện tử cho BRT, Metro, xe đạp và xe ôm công nghệ.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spacing w:before="100" w:beforeAutospacing="1" w:after="0" w:line="240" w:lineRule="auto"/>
        <w:ind w:left="72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4.2. Bài học kinh nghiệm: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Cần triển khai hạ tầng ITS đồng bộ ngay từ khâu thiết kế thi công (Design &amp; Build) thay vì chắp vá.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spacing w:before="100" w:beforeAutospacing="1" w:after="0" w:line="240" w:lineRule="auto"/>
        <w:ind w:left="72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4.3. Hướng nghiên cứu mở rộng: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Lộ trình chuyển đổi sang BRT thuần điện (e-BRT) kết hợp trạm sạc tự động và công nghệ xe buýt tự lái (Autonomous BRT).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spacing w:before="100" w:beforeAutospacing="1" w:after="0" w:line="240" w:lineRule="auto"/>
        <w:outlineLvl w:val="2"/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7"/>
          <w:szCs w:val="27"/>
        </w:rPr>
        <w:t>PHẦN KẾT LUẬN</w:t>
      </w:r>
    </w:p>
    <w:p>
      <w:pPr>
        <w:spacing w:before="100" w:beforeAutospacing="1" w:after="0" w:line="240" w:lineRule="auto"/>
        <w:ind w:left="72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1F1F1F"/>
          <w:sz w:val="24"/>
          <w:szCs w:val="24"/>
        </w:rPr>
        <w:t>Khẳng định lại: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ITS là linh hồn của BRT; thiếu ITS, BRT chỉ là xe buýt to chạy trên làn đường đắt tiền.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spacing w:before="100" w:beforeAutospacing="1" w:after="0" w:line="240" w:lineRule="auto"/>
        <w:ind w:left="72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Sự thành công của BRT đòi hỏi quyết tâm chính trị và "Thế chân kiềng": Hạ tầng - Công nghệ - Chính sách.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>
      <w:pPr>
        <w:spacing w:before="100" w:beforeAutospacing="1" w:after="0" w:line="240" w:lineRule="auto"/>
        <w:ind w:left="720"/>
        <w:rPr>
          <w:rFonts w:ascii="Times New Roman" w:hAnsi="Times New Roman" w:eastAsia="Times New Roman" w:cs="Times New Roman"/>
          <w:color w:val="1F1F1F"/>
          <w:sz w:val="24"/>
          <w:szCs w:val="24"/>
        </w:rPr>
      </w:pP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>Kỷ nguyên số yêu cầu vận hành dựa trên dữ liệu (Data-driven Operation) để tối ưu năng lực vận tải và giảm chi phí.</w:t>
      </w:r>
      <w:r>
        <w:rPr>
          <w:rFonts w:ascii="Times New Roman" w:hAnsi="Times New Roman" w:eastAsia="Times New Roman" w:cs="Times New Roman"/>
          <w:color w:val="1F1F1F"/>
          <w:sz w:val="24"/>
          <w:szCs w:val="24"/>
        </w:rPr>
        <w:t xml:space="preserve"> </w:t>
      </w:r>
    </w:p>
    <w:p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104360"/>
    <w:multiLevelType w:val="multilevel"/>
    <w:tmpl w:val="531043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C8364E7"/>
    <w:multiLevelType w:val="multilevel"/>
    <w:tmpl w:val="5C8364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1472CEE"/>
    <w:multiLevelType w:val="multilevel"/>
    <w:tmpl w:val="61472C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2C66FFC"/>
    <w:multiLevelType w:val="multilevel"/>
    <w:tmpl w:val="72C66F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D696D16"/>
    <w:multiLevelType w:val="multilevel"/>
    <w:tmpl w:val="7D696D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537"/>
    <w:rsid w:val="002F3537"/>
    <w:rsid w:val="00301A42"/>
    <w:rsid w:val="00422A25"/>
    <w:rsid w:val="00854273"/>
    <w:rsid w:val="008E34A5"/>
    <w:rsid w:val="7A66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link w:val="5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3 Char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712</Words>
  <Characters>4062</Characters>
  <Lines>33</Lines>
  <Paragraphs>9</Paragraphs>
  <TotalTime>16</TotalTime>
  <ScaleCrop>false</ScaleCrop>
  <LinksUpToDate>false</LinksUpToDate>
  <CharactersWithSpaces>4765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2026-10-06T05:26:00Z</dcterms:created>
  <dc:creator>ACER</dc:creator>
  <cp:lastModifiedBy>Uy Nguyễn Quốc</cp:lastModifiedBy>
  <dcterms:modified xsi:type="dcterms:W3CDTF">2026-10-06T09:36:20Z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