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2"/>
          <w:szCs w:val="22"/>
        </w:rPr>
        <w:t xml:space="preserve">TÓM TẮT NỘI DUNG</w:t>
      </w:r>
    </w:p>
    <w:p>
      <w:pPr>
        <w:spacing w:after="60" w:before="0"/>
        <w:jc w:val="center"/>
      </w:pPr>
      <w:r>
        <w:rPr>
          <w:rFonts w:ascii="Arial" w:cs="Arial" w:eastAsia="Arial" w:hAnsi="Arial"/>
          <w:b/>
          <w:bCs/>
          <w:color w:val="1F3864"/>
          <w:sz w:val="36"/>
          <w:szCs w:val="36"/>
        </w:rPr>
        <w:t xml:space="preserve">CHƯƠNG 4: TƯ BẢN TÀI CHÍNH</w:t>
      </w:r>
    </w:p>
    <w:p>
      <w:pPr>
        <w:spacing w:after="360" w:before="0"/>
        <w:jc w:val="center"/>
      </w:pPr>
      <w:r>
        <w:rPr>
          <w:rFonts w:ascii="Arial" w:cs="Arial" w:eastAsia="Arial" w:hAnsi="Arial"/>
          <w:i/>
          <w:iCs/>
          <w:color w:val="555555"/>
          <w:sz w:val="22"/>
          <w:szCs w:val="22"/>
        </w:rPr>
        <w:t xml:space="preserve">Kinh tế Chính trị Mác - Lênin</w:t>
      </w:r>
    </w:p>
    <w:p>
      <w:pPr>
        <w:pStyle w:val="Heading1"/>
        <w:spacing w:after="180" w:before="360"/>
      </w:pPr>
      <w:r>
        <w:rPr>
          <w:rFonts w:ascii="Arial" w:cs="Arial" w:eastAsia="Arial" w:hAnsi="Arial"/>
          <w:b/>
          <w:bCs/>
          <w:color w:val="1F3864"/>
          <w:sz w:val="32"/>
          <w:szCs w:val="32"/>
        </w:rPr>
        <w:t xml:space="preserve">I. TƯ BẢN TÀI CHÍNH LÀ GÌ?</w:t>
      </w:r>
    </w:p>
    <w:p>
      <w:pPr>
        <w:spacing w:after="80" w:before="80"/>
      </w:pPr>
      <w:r>
        <w:rPr>
          <w:rFonts w:ascii="Arial" w:cs="Arial" w:eastAsia="Arial" w:hAnsi="Arial"/>
          <w:sz w:val="22"/>
          <w:szCs w:val="22"/>
        </w:rPr>
        <w:t xml:space="preserve">Tư bản tài chính là hình thức tư bản độc quyền được hình thành từ sự dung hợp giữa tư bản ngân hàng độc quyền và tư bản công nghiệp độc quyền.</w:t>
      </w:r>
    </w:p>
    <w:p>
      <w:r>
        <w:t xml:space="preserve"/>
      </w:r>
    </w:p>
    <w:p>
      <w:pPr>
        <w:spacing w:after="80" w:before="80"/>
      </w:pPr>
      <w:r>
        <w:rPr>
          <w:rFonts w:ascii="Arial" w:cs="Arial" w:eastAsia="Arial" w:hAnsi="Arial"/>
          <w:b/>
          <w:bCs/>
          <w:sz w:val="22"/>
          <w:szCs w:val="22"/>
        </w:rPr>
        <w:t xml:space="preserve">Nguồn gốc hình thành:</w:t>
      </w:r>
    </w:p>
    <w:p>
      <w:pPr>
        <w:pStyle w:val="ListParagraph"/>
        <w:numPr>
          <w:ilvl w:val="0"/>
          <w:numId w:val="2"/>
        </w:numPr>
        <w:spacing w:after="60" w:before="60"/>
      </w:pPr>
      <w:r>
        <w:rPr>
          <w:rFonts w:ascii="Arial" w:cs="Arial" w:eastAsia="Arial" w:hAnsi="Arial"/>
          <w:sz w:val="22"/>
          <w:szCs w:val="22"/>
        </w:rPr>
        <w:t xml:space="preserve">Tổ chức độc quyền công nghiệp (tư bản công nghiệp lớn, tập trung cao) cần vốn lớn để mở rộng sản xuất.</w:t>
      </w:r>
    </w:p>
    <w:p>
      <w:pPr>
        <w:pStyle w:val="ListParagraph"/>
        <w:numPr>
          <w:ilvl w:val="0"/>
          <w:numId w:val="2"/>
        </w:numPr>
        <w:spacing w:after="60" w:before="60"/>
      </w:pPr>
      <w:r>
        <w:rPr>
          <w:rFonts w:ascii="Arial" w:cs="Arial" w:eastAsia="Arial" w:hAnsi="Arial"/>
          <w:sz w:val="22"/>
          <w:szCs w:val="22"/>
        </w:rPr>
        <w:t xml:space="preserve">Tổ chức độc quyền ngân hàng (các ngân hàng lớn) nắm giữ lượng vốn khổng lồ, tìm kiếm lợi nhuận cao.</w:t>
      </w:r>
    </w:p>
    <w:p>
      <w:pPr>
        <w:pStyle w:val="ListParagraph"/>
        <w:numPr>
          <w:ilvl w:val="0"/>
          <w:numId w:val="2"/>
        </w:numPr>
        <w:spacing w:after="60" w:before="60"/>
      </w:pPr>
      <w:r>
        <w:rPr>
          <w:rFonts w:ascii="Arial" w:cs="Arial" w:eastAsia="Arial" w:hAnsi="Arial"/>
          <w:sz w:val="22"/>
          <w:szCs w:val="22"/>
        </w:rPr>
        <w:t xml:space="preserve">Sự kết hợp giữa hai lực lượng này tạo ra tư bản tài chính — một hình thức tư bản mới, có sức chi phối toàn bộ nền kinh tế.</w:t>
      </w:r>
    </w:p>
    <w:p>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Tư bản Ngân hàng (độc quyền)</w:t>
            </w:r>
          </w:p>
        </w:tc>
        <w:tc>
          <w:tcPr>
            <w:tcW w:type="dxa" w:w="4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Tư bản Công nghiệp (độc quyền)</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Nắm giữ khối lượng vốn tiền tệ khổng lồ</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Cần vốn lớn để đầu tư, mở rộng sản xuất</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Cho vay, cung cấp tín dụng dài hạn</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Phát hành cổ phiếu, trái phiếu</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Mua cổ phần vào doanh nghiệp công nghiệp</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Ngân hàng trở thành cổ đông chiến lược</w:t>
            </w:r>
          </w:p>
        </w:tc>
      </w:tr>
    </w:tbl>
    <w:p>
      <w:r>
        <w:t xml:space="preserve"/>
      </w:r>
    </w:p>
    <w:p>
      <w:pPr>
        <w:spacing w:after="80" w:before="80"/>
      </w:pPr>
      <w:r>
        <w:rPr>
          <w:rFonts w:ascii="Arial" w:cs="Arial" w:eastAsia="Arial" w:hAnsi="Arial"/>
          <w:b/>
          <w:bCs/>
          <w:sz w:val="22"/>
          <w:szCs w:val="22"/>
        </w:rPr>
        <w:t xml:space="preserve">→ Kết quả: Tư bản tài chính thống trị toàn bộ đời sống kinh tế.</w:t>
      </w:r>
    </w:p>
    <w:p>
      <w:r>
        <w:t xml:space="preserve"/>
      </w:r>
    </w:p>
    <w:p>
      <w:pPr>
        <w:pStyle w:val="Heading1"/>
        <w:spacing w:after="180" w:before="360"/>
      </w:pPr>
      <w:r>
        <w:rPr>
          <w:rFonts w:ascii="Arial" w:cs="Arial" w:eastAsia="Arial" w:hAnsi="Arial"/>
          <w:b/>
          <w:bCs/>
          <w:color w:val="1F3864"/>
          <w:sz w:val="32"/>
          <w:szCs w:val="32"/>
        </w:rPr>
        <w:t xml:space="preserve">II. QUÁ TRÌNH THỐNG TRỊ CỦA TƯ BẢN TÀI CHÍNH</w:t>
      </w:r>
    </w:p>
    <w:p>
      <w:pPr>
        <w:pStyle w:val="Heading2"/>
        <w:spacing w:after="120" w:before="240"/>
      </w:pPr>
      <w:r>
        <w:rPr>
          <w:rFonts w:ascii="Arial" w:cs="Arial" w:eastAsia="Arial" w:hAnsi="Arial"/>
          <w:b/>
          <w:bCs/>
          <w:color w:val="2E75B6"/>
          <w:sz w:val="26"/>
          <w:szCs w:val="26"/>
        </w:rPr>
        <w:t xml:space="preserve">1. Chế độ tham dự</w:t>
      </w:r>
    </w:p>
    <w:p>
      <w:pPr>
        <w:spacing w:after="80" w:before="80"/>
      </w:pPr>
      <w:r>
        <w:rPr>
          <w:rFonts w:ascii="Arial" w:cs="Arial" w:eastAsia="Arial" w:hAnsi="Arial"/>
          <w:sz w:val="22"/>
          <w:szCs w:val="22"/>
        </w:rPr>
        <w:t xml:space="preserve">Là phương thức thống trị của tư bản tài chính thông qua việc nắm giữ cổ phần chi phối (cổ phần khống chế) trong các công ty.</w:t>
      </w:r>
    </w:p>
    <w:p>
      <w:pPr>
        <w:pStyle w:val="ListParagraph"/>
        <w:numPr>
          <w:ilvl w:val="0"/>
          <w:numId w:val="2"/>
        </w:numPr>
        <w:spacing w:after="60" w:before="60"/>
      </w:pPr>
      <w:r>
        <w:rPr>
          <w:rFonts w:ascii="Arial" w:cs="Arial" w:eastAsia="Arial" w:hAnsi="Arial"/>
          <w:sz w:val="22"/>
          <w:szCs w:val="22"/>
        </w:rPr>
        <w:t xml:space="preserve">Công ty mẹ nắm cổ phần khống chế → Kiểm soát công ty con.</w:t>
      </w:r>
    </w:p>
    <w:p>
      <w:pPr>
        <w:pStyle w:val="ListParagraph"/>
        <w:numPr>
          <w:ilvl w:val="0"/>
          <w:numId w:val="2"/>
        </w:numPr>
        <w:spacing w:after="60" w:before="60"/>
      </w:pPr>
      <w:r>
        <w:rPr>
          <w:rFonts w:ascii="Arial" w:cs="Arial" w:eastAsia="Arial" w:hAnsi="Arial"/>
          <w:sz w:val="22"/>
          <w:szCs w:val="22"/>
        </w:rPr>
        <w:t xml:space="preserve">Công ty con nắm cổ phần khống chế → Kiểm soát công ty cháu.</w:t>
      </w:r>
    </w:p>
    <w:p>
      <w:pPr>
        <w:pStyle w:val="ListParagraph"/>
        <w:numPr>
          <w:ilvl w:val="0"/>
          <w:numId w:val="2"/>
        </w:numPr>
        <w:spacing w:after="60" w:before="60"/>
      </w:pPr>
      <w:r>
        <w:rPr>
          <w:rFonts w:ascii="Arial" w:cs="Arial" w:eastAsia="Arial" w:hAnsi="Arial"/>
          <w:sz w:val="22"/>
          <w:szCs w:val="22"/>
        </w:rPr>
        <w:t xml:space="preserve">Tạo ra hệ thống kim tự tháp: Một lượng vốn nhỏ ở đỉnh khống chế khối lượng vốn khổng lồ ở đáy.</w:t>
      </w:r>
    </w:p>
    <w:p>
      <w:r>
        <w:t xml:space="preserve"/>
      </w:r>
    </w:p>
    <w:p>
      <w:pPr>
        <w:pStyle w:val="Heading2"/>
        <w:spacing w:after="120" w:before="240"/>
      </w:pPr>
      <w:r>
        <w:rPr>
          <w:rFonts w:ascii="Arial" w:cs="Arial" w:eastAsia="Arial" w:hAnsi="Arial"/>
          <w:b/>
          <w:bCs/>
          <w:color w:val="2E75B6"/>
          <w:sz w:val="26"/>
          <w:szCs w:val="26"/>
        </w:rPr>
        <w:t xml:space="preserve">2. Đầu sỏ tài chính</w:t>
      </w:r>
    </w:p>
    <w:p>
      <w:pPr>
        <w:spacing w:after="80" w:before="80"/>
      </w:pPr>
      <w:r>
        <w:rPr>
          <w:rFonts w:ascii="Arial" w:cs="Arial" w:eastAsia="Arial" w:hAnsi="Arial"/>
          <w:sz w:val="22"/>
          <w:szCs w:val="22"/>
        </w:rPr>
        <w:t xml:space="preserve">Đầu sỏ tài chính là một nhóm nhỏ các nhà tư bản độc quyền lớn nhất, chi phối toàn bộ đời sống kinh tế và chính trị của các nước tư bản.</w:t>
      </w:r>
    </w:p>
    <w:p>
      <w:pPr>
        <w:spacing w:after="80" w:before="80"/>
      </w:pPr>
      <w:r>
        <w:rPr>
          <w:rFonts w:ascii="Arial" w:cs="Arial" w:eastAsia="Arial" w:hAnsi="Arial"/>
          <w:b/>
          <w:bCs/>
          <w:sz w:val="22"/>
          <w:szCs w:val="22"/>
        </w:rPr>
        <w:t xml:space="preserve">Phương thức thống trị của đầu sỏ tài chính:</w:t>
      </w:r>
    </w:p>
    <w:p>
      <w:pPr>
        <w:pStyle w:val="ListParagraph"/>
        <w:numPr>
          <w:ilvl w:val="0"/>
          <w:numId w:val="2"/>
        </w:numPr>
        <w:spacing w:after="60" w:before="60"/>
      </w:pPr>
      <w:r>
        <w:rPr>
          <w:rFonts w:ascii="Arial" w:cs="Arial" w:eastAsia="Arial" w:hAnsi="Arial"/>
          <w:sz w:val="22"/>
          <w:szCs w:val="22"/>
        </w:rPr>
        <w:t xml:space="preserve">Trong kinh tế: Thông qua chế độ tham dự, nắm cổ phần khống chế ở nhiều công ty, ngành kinh tế.</w:t>
      </w:r>
    </w:p>
    <w:p>
      <w:pPr>
        <w:pStyle w:val="ListParagraph"/>
        <w:numPr>
          <w:ilvl w:val="0"/>
          <w:numId w:val="2"/>
        </w:numPr>
        <w:spacing w:after="60" w:before="60"/>
      </w:pPr>
      <w:r>
        <w:rPr>
          <w:rFonts w:ascii="Arial" w:cs="Arial" w:eastAsia="Arial" w:hAnsi="Arial"/>
          <w:sz w:val="22"/>
          <w:szCs w:val="22"/>
        </w:rPr>
        <w:t xml:space="preserve">Trong chính trị: Đưa người thân tín vào các cơ quan nhà nước, tác động đến chính sách, pháp luật phục vụ lợi ích của mình.</w:t>
      </w:r>
    </w:p>
    <w:p>
      <w:pPr>
        <w:pStyle w:val="ListParagraph"/>
        <w:numPr>
          <w:ilvl w:val="0"/>
          <w:numId w:val="2"/>
        </w:numPr>
        <w:spacing w:after="60" w:before="60"/>
      </w:pPr>
      <w:r>
        <w:rPr>
          <w:rFonts w:ascii="Arial" w:cs="Arial" w:eastAsia="Arial" w:hAnsi="Arial"/>
          <w:sz w:val="22"/>
          <w:szCs w:val="22"/>
        </w:rPr>
        <w:t xml:space="preserve">Phương châm: "Hôm nay là bố trẻ, ngày mai là bố già" — tức là liên tục mở rộng tầm ảnh hưởng và kiểm soát qua các thế hệ.</w:t>
      </w:r>
    </w:p>
    <w:p>
      <w:r>
        <w:t xml:space="preserve"/>
      </w:r>
    </w:p>
    <w:p>
      <w:pPr>
        <w:pStyle w:val="Heading2"/>
        <w:spacing w:after="120" w:before="240"/>
      </w:pPr>
      <w:r>
        <w:rPr>
          <w:rFonts w:ascii="Arial" w:cs="Arial" w:eastAsia="Arial" w:hAnsi="Arial"/>
          <w:b/>
          <w:bCs/>
          <w:color w:val="2E75B6"/>
          <w:sz w:val="26"/>
          <w:szCs w:val="26"/>
        </w:rPr>
        <w:t xml:space="preserve">3. Phương thức tích lũy của tư bản tài chính</w:t>
      </w:r>
    </w:p>
    <w:p>
      <w:pPr>
        <w:pStyle w:val="ListParagraph"/>
        <w:numPr>
          <w:ilvl w:val="0"/>
          <w:numId w:val="2"/>
        </w:numPr>
        <w:spacing w:after="60" w:before="60"/>
      </w:pPr>
      <w:r>
        <w:rPr>
          <w:rFonts w:ascii="Arial" w:cs="Arial" w:eastAsia="Arial" w:hAnsi="Arial"/>
          <w:sz w:val="22"/>
          <w:szCs w:val="22"/>
        </w:rPr>
        <w:t xml:space="preserve">Phát hành chứng khoán (cổ phiếu, trái phiếu): Thu lợi nhuận sáng lập (chênh lệch giữa giá phát hành và giá trị thực).</w:t>
      </w:r>
    </w:p>
    <w:p>
      <w:pPr>
        <w:pStyle w:val="ListParagraph"/>
        <w:numPr>
          <w:ilvl w:val="0"/>
          <w:numId w:val="2"/>
        </w:numPr>
        <w:spacing w:after="60" w:before="60"/>
      </w:pPr>
      <w:r>
        <w:rPr>
          <w:rFonts w:ascii="Arial" w:cs="Arial" w:eastAsia="Arial" w:hAnsi="Arial"/>
          <w:sz w:val="22"/>
          <w:szCs w:val="22"/>
        </w:rPr>
        <w:t xml:space="preserve">Cho vay lãi suất cao đối với các nước kém phát triển.</w:t>
      </w:r>
    </w:p>
    <w:p>
      <w:pPr>
        <w:pStyle w:val="ListParagraph"/>
        <w:numPr>
          <w:ilvl w:val="0"/>
          <w:numId w:val="2"/>
        </w:numPr>
        <w:spacing w:after="60" w:before="60"/>
      </w:pPr>
      <w:r>
        <w:rPr>
          <w:rFonts w:ascii="Arial" w:cs="Arial" w:eastAsia="Arial" w:hAnsi="Arial"/>
          <w:sz w:val="22"/>
          <w:szCs w:val="22"/>
        </w:rPr>
        <w:t xml:space="preserve">Đầu tư ra nước ngoài để khai thác tài nguyên và lao động giá rẻ.</w:t>
      </w:r>
    </w:p>
    <w:p>
      <w:pPr>
        <w:pStyle w:val="ListParagraph"/>
        <w:numPr>
          <w:ilvl w:val="0"/>
          <w:numId w:val="2"/>
        </w:numPr>
        <w:spacing w:after="60" w:before="60"/>
      </w:pPr>
      <w:r>
        <w:rPr>
          <w:rFonts w:ascii="Arial" w:cs="Arial" w:eastAsia="Arial" w:hAnsi="Arial"/>
          <w:sz w:val="22"/>
          <w:szCs w:val="22"/>
        </w:rPr>
        <w:t xml:space="preserve">Kinh doanh tài chính phái sinh, đầu cơ chứng khoán.</w:t>
      </w:r>
    </w:p>
    <w:p>
      <w:r>
        <w:t xml:space="preserve"/>
      </w:r>
    </w:p>
    <w:p>
      <w:pPr>
        <w:pStyle w:val="Heading1"/>
        <w:spacing w:after="180" w:before="360"/>
      </w:pPr>
      <w:r>
        <w:rPr>
          <w:rFonts w:ascii="Arial" w:cs="Arial" w:eastAsia="Arial" w:hAnsi="Arial"/>
          <w:b/>
          <w:bCs/>
          <w:color w:val="1F3864"/>
          <w:sz w:val="32"/>
          <w:szCs w:val="32"/>
        </w:rPr>
        <w:t xml:space="preserve">III. ĐẶC ĐIỂM CỦA NỀN KINH TẾ VIỆT NAM (Liên hệ thực tiễn)</w:t>
      </w:r>
    </w:p>
    <w:p>
      <w:pPr>
        <w:pStyle w:val="Heading2"/>
        <w:spacing w:after="120" w:before="240"/>
      </w:pPr>
      <w:r>
        <w:rPr>
          <w:rFonts w:ascii="Arial" w:cs="Arial" w:eastAsia="Arial" w:hAnsi="Arial"/>
          <w:b/>
          <w:bCs/>
          <w:color w:val="2E75B6"/>
          <w:sz w:val="26"/>
          <w:szCs w:val="26"/>
        </w:rPr>
        <w:t xml:space="preserve">1. Nền kinh tế nhiều thành phần</w:t>
      </w:r>
    </w:p>
    <w:p>
      <w:pPr>
        <w:spacing w:after="80" w:before="80"/>
      </w:pPr>
      <w:r>
        <w:rPr>
          <w:rFonts w:ascii="Arial" w:cs="Arial" w:eastAsia="Arial" w:hAnsi="Arial"/>
          <w:sz w:val="22"/>
          <w:szCs w:val="22"/>
        </w:rPr>
        <w:t xml:space="preserve">Việt Nam xây dựng nền kinh tế thị trường định hướng xã hội chủ nghĩa với nhiều thành phần kinh tế:</w:t>
      </w:r>
    </w:p>
    <w:p>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Thành phần kinh tế</w:t>
            </w:r>
          </w:p>
        </w:tc>
        <w:tc>
          <w:tcPr>
            <w:tcW w:type="dxa" w:w="4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Vai trò</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Kinh tế Nhà nước</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Giữ vai trò chủ đạo, nắm các ngành, lĩnh vực then chốt</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Kinh tế tập thể (hợp tác xã)</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Là nền tảng của nền kinh tế cùng với kinh tế nhà nước</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Kinh tế tư nhân</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Là một động lực quan trọng thúc đẩy phát triển kinh tế</w:t>
            </w:r>
          </w:p>
        </w:tc>
      </w:tr>
      <w:tr>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Kinh tế có vốn đầu tư nước ngoài (FDI)</w:t>
            </w:r>
          </w:p>
        </w:tc>
        <w:tc>
          <w:tcPr>
            <w:tcW w:type="dxa" w:w="4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Bổ sung vốn, công nghệ, tạo việc làm</w:t>
            </w:r>
          </w:p>
        </w:tc>
      </w:tr>
    </w:tbl>
    <w:p>
      <w:r>
        <w:t xml:space="preserve"/>
      </w:r>
    </w:p>
    <w:p>
      <w:pPr>
        <w:pStyle w:val="Heading2"/>
        <w:spacing w:after="120" w:before="240"/>
      </w:pPr>
      <w:r>
        <w:rPr>
          <w:rFonts w:ascii="Arial" w:cs="Arial" w:eastAsia="Arial" w:hAnsi="Arial"/>
          <w:b/>
          <w:bCs/>
          <w:color w:val="2E75B6"/>
          <w:sz w:val="26"/>
          <w:szCs w:val="26"/>
        </w:rPr>
        <w:t xml:space="preserve">2. Các loại hình phân phối lợi nhuận</w:t>
      </w:r>
    </w:p>
    <w:p>
      <w:pPr>
        <w:spacing w:after="80" w:before="80"/>
      </w:pPr>
      <w:r>
        <w:rPr>
          <w:rFonts w:ascii="Arial" w:cs="Arial" w:eastAsia="Arial" w:hAnsi="Arial"/>
          <w:sz w:val="22"/>
          <w:szCs w:val="22"/>
        </w:rPr>
        <w:t xml:space="preserve">Trong nền kinh tế Việt Nam, lợi nhuận được phân phối theo các nguyên tắc:</w:t>
      </w:r>
    </w:p>
    <w:p>
      <w:pPr>
        <w:pStyle w:val="ListParagraph"/>
        <w:numPr>
          <w:ilvl w:val="0"/>
          <w:numId w:val="2"/>
        </w:numPr>
        <w:spacing w:after="60" w:before="60"/>
      </w:pPr>
      <w:r>
        <w:rPr>
          <w:rFonts w:ascii="Arial" w:cs="Arial" w:eastAsia="Arial" w:hAnsi="Arial"/>
          <w:b/>
          <w:bCs/>
          <w:sz w:val="22"/>
          <w:szCs w:val="22"/>
        </w:rPr>
        <w:t xml:space="preserve">Phân phối theo lao động: </w:t>
      </w:r>
      <w:r>
        <w:rPr>
          <w:rFonts w:ascii="Arial" w:cs="Arial" w:eastAsia="Arial" w:hAnsi="Arial"/>
          <w:sz w:val="22"/>
          <w:szCs w:val="22"/>
        </w:rPr>
        <w:t xml:space="preserve">Mỗi cá nhân, tập thể được hưởng thành quả tương xứng với công sức và đóng góp lao động của mình.</w:t>
      </w:r>
    </w:p>
    <w:p>
      <w:pPr>
        <w:pStyle w:val="ListParagraph"/>
        <w:numPr>
          <w:ilvl w:val="0"/>
          <w:numId w:val="2"/>
        </w:numPr>
        <w:spacing w:after="60" w:before="60"/>
      </w:pPr>
      <w:r>
        <w:rPr>
          <w:rFonts w:ascii="Arial" w:cs="Arial" w:eastAsia="Arial" w:hAnsi="Arial"/>
          <w:b/>
          <w:bCs/>
          <w:sz w:val="22"/>
          <w:szCs w:val="22"/>
        </w:rPr>
        <w:t xml:space="preserve">Phân phối theo hiệu quả kinh tế: </w:t>
      </w:r>
      <w:r>
        <w:rPr>
          <w:rFonts w:ascii="Arial" w:cs="Arial" w:eastAsia="Arial" w:hAnsi="Arial"/>
          <w:sz w:val="22"/>
          <w:szCs w:val="22"/>
        </w:rPr>
        <w:t xml:space="preserve">Dựa trên hiệu quả sử dụng vốn, năng suất lao động và kết quả kinh doanh thực tế.</w:t>
      </w:r>
    </w:p>
    <w:p>
      <w:pPr>
        <w:pStyle w:val="ListParagraph"/>
        <w:numPr>
          <w:ilvl w:val="0"/>
          <w:numId w:val="2"/>
        </w:numPr>
        <w:spacing w:after="60" w:before="60"/>
      </w:pPr>
      <w:r>
        <w:rPr>
          <w:rFonts w:ascii="Arial" w:cs="Arial" w:eastAsia="Arial" w:hAnsi="Arial"/>
          <w:b/>
          <w:bCs/>
          <w:sz w:val="22"/>
          <w:szCs w:val="22"/>
        </w:rPr>
        <w:t xml:space="preserve">Phân phối theo vốn góp: </w:t>
      </w:r>
      <w:r>
        <w:rPr>
          <w:rFonts w:ascii="Arial" w:cs="Arial" w:eastAsia="Arial" w:hAnsi="Arial"/>
          <w:sz w:val="22"/>
          <w:szCs w:val="22"/>
        </w:rPr>
        <w:t xml:space="preserve">Cổ đông, nhà đầu tư được hưởng lợi nhuận tương ứng với phần vốn góp (cổ tức).</w:t>
      </w:r>
    </w:p>
    <w:p>
      <w:r>
        <w:t xml:space="preserve"/>
      </w:r>
    </w:p>
    <w:p>
      <w:pPr>
        <w:pStyle w:val="Heading2"/>
        <w:spacing w:after="120" w:before="240"/>
      </w:pPr>
      <w:r>
        <w:rPr>
          <w:rFonts w:ascii="Arial" w:cs="Arial" w:eastAsia="Arial" w:hAnsi="Arial"/>
          <w:b/>
          <w:bCs/>
          <w:color w:val="2E75B6"/>
          <w:sz w:val="26"/>
          <w:szCs w:val="26"/>
        </w:rPr>
        <w:t xml:space="preserve">3. Các loại hình sở hữu tư liệu sản xuất</w:t>
      </w:r>
    </w:p>
    <w:p>
      <w:pPr>
        <w:pStyle w:val="ListParagraph"/>
        <w:numPr>
          <w:ilvl w:val="0"/>
          <w:numId w:val="2"/>
        </w:numPr>
        <w:spacing w:after="60" w:before="60"/>
      </w:pPr>
      <w:r>
        <w:rPr>
          <w:rFonts w:ascii="Arial" w:cs="Arial" w:eastAsia="Arial" w:hAnsi="Arial"/>
          <w:sz w:val="22"/>
          <w:szCs w:val="22"/>
        </w:rPr>
        <w:t xml:space="preserve">Sở hữu toàn dân (Nhà nước): Đất đai, tài nguyên thiên nhiên, các tập đoàn, tổng công ty nhà nước.</w:t>
      </w:r>
    </w:p>
    <w:p>
      <w:pPr>
        <w:pStyle w:val="ListParagraph"/>
        <w:numPr>
          <w:ilvl w:val="0"/>
          <w:numId w:val="2"/>
        </w:numPr>
        <w:spacing w:after="60" w:before="60"/>
      </w:pPr>
      <w:r>
        <w:rPr>
          <w:rFonts w:ascii="Arial" w:cs="Arial" w:eastAsia="Arial" w:hAnsi="Arial"/>
          <w:sz w:val="22"/>
          <w:szCs w:val="22"/>
        </w:rPr>
        <w:t xml:space="preserve">Sở hữu tập thể: Hợp tác xã, tổ hợp tác.</w:t>
      </w:r>
    </w:p>
    <w:p>
      <w:pPr>
        <w:pStyle w:val="ListParagraph"/>
        <w:numPr>
          <w:ilvl w:val="0"/>
          <w:numId w:val="2"/>
        </w:numPr>
        <w:spacing w:after="60" w:before="60"/>
      </w:pPr>
      <w:r>
        <w:rPr>
          <w:rFonts w:ascii="Arial" w:cs="Arial" w:eastAsia="Arial" w:hAnsi="Arial"/>
          <w:sz w:val="22"/>
          <w:szCs w:val="22"/>
        </w:rPr>
        <w:t xml:space="preserve">Sở hữu tư nhân: Doanh nghiệp tư nhân, hộ kinh doanh cá thể.</w:t>
      </w:r>
    </w:p>
    <w:p>
      <w:r>
        <w:t xml:space="preserve"/>
      </w:r>
    </w:p>
    <w:p>
      <w:pPr>
        <w:pStyle w:val="Heading1"/>
        <w:spacing w:after="180" w:before="360"/>
      </w:pPr>
      <w:r>
        <w:rPr>
          <w:rFonts w:ascii="Arial" w:cs="Arial" w:eastAsia="Arial" w:hAnsi="Arial"/>
          <w:b/>
          <w:bCs/>
          <w:color w:val="1F3864"/>
          <w:sz w:val="32"/>
          <w:szCs w:val="32"/>
        </w:rPr>
        <w:t xml:space="preserve">IV. KẾT LUẬN</w:t>
      </w:r>
    </w:p>
    <w:p>
      <w:pPr>
        <w:spacing w:after="80" w:before="80"/>
      </w:pPr>
      <w:r>
        <w:rPr>
          <w:rFonts w:ascii="Arial" w:cs="Arial" w:eastAsia="Arial" w:hAnsi="Arial"/>
          <w:sz w:val="22"/>
          <w:szCs w:val="22"/>
        </w:rPr>
        <w:t xml:space="preserve">Tư bản tài chính là biểu hiện cao nhất của chủ nghĩa tư bản độc quyền, cho thấy sự tập trung quyền lực kinh tế vào tay một nhóm nhỏ đầu sỏ tài chính. Trong bối cảnh Việt Nam, việc nghiên cứu tư bản tài chính giúp hiểu rõ hơn về:</w:t>
      </w:r>
    </w:p>
    <w:p>
      <w:pPr>
        <w:pStyle w:val="ListParagraph"/>
        <w:numPr>
          <w:ilvl w:val="0"/>
          <w:numId w:val="2"/>
        </w:numPr>
        <w:spacing w:after="60" w:before="60"/>
      </w:pPr>
      <w:r>
        <w:rPr>
          <w:rFonts w:ascii="Arial" w:cs="Arial" w:eastAsia="Arial" w:hAnsi="Arial"/>
          <w:sz w:val="22"/>
          <w:szCs w:val="22"/>
        </w:rPr>
        <w:t xml:space="preserve">Nguy cơ tập trung quyền lực kinh tế, cần có cơ chế kiểm soát độc quyền.</w:t>
      </w:r>
    </w:p>
    <w:p>
      <w:pPr>
        <w:pStyle w:val="ListParagraph"/>
        <w:numPr>
          <w:ilvl w:val="0"/>
          <w:numId w:val="2"/>
        </w:numPr>
        <w:spacing w:after="60" w:before="60"/>
      </w:pPr>
      <w:r>
        <w:rPr>
          <w:rFonts w:ascii="Arial" w:cs="Arial" w:eastAsia="Arial" w:hAnsi="Arial"/>
          <w:sz w:val="22"/>
          <w:szCs w:val="22"/>
        </w:rPr>
        <w:t xml:space="preserve">Vai trò của Nhà nước trong điều tiết thị trường vốn và tài chính.</w:t>
      </w:r>
    </w:p>
    <w:p>
      <w:pPr>
        <w:pStyle w:val="ListParagraph"/>
        <w:numPr>
          <w:ilvl w:val="0"/>
          <w:numId w:val="2"/>
        </w:numPr>
        <w:spacing w:after="60" w:before="60"/>
      </w:pPr>
      <w:r>
        <w:rPr>
          <w:rFonts w:ascii="Arial" w:cs="Arial" w:eastAsia="Arial" w:hAnsi="Arial"/>
          <w:sz w:val="22"/>
          <w:szCs w:val="22"/>
        </w:rPr>
        <w:t xml:space="preserve">Sự cần thiết phải phát triển kinh tế nhà nước để đảm bảo định hướng xã hội chủ nghĩa.</w:t>
      </w:r>
    </w:p>
    <w:p>
      <w:r>
        <w:t xml:space="preserve"/>
      </w:r>
    </w:p>
    <w:p>
      <w:pPr>
        <w:pBdr>
          <w:top w:val="single" w:color="2E75B6" w:sz="6"/>
        </w:pBdr>
        <w:spacing w:before="360"/>
        <w:jc w:val="center"/>
      </w:pPr>
      <w:r>
        <w:rPr>
          <w:rFonts w:ascii="Arial" w:cs="Arial" w:eastAsia="Arial" w:hAnsi="Arial"/>
          <w:i/>
          <w:iCs/>
          <w:color w:val="777777"/>
          <w:sz w:val="20"/>
          <w:szCs w:val="20"/>
        </w:rPr>
        <w:t xml:space="preserve">--- Hết tóm tắt Chương 4 ---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2026-05-19T06:39:52.440Z</dcterms:created>
  <dcterms:modified xsi:type="dcterms:W3CDTF">2026-05-19T06:39:52.440Z</dcterms:modified>
</cp:coreProperties>
</file>

<file path=docProps/custom.xml><?xml version="1.0" encoding="utf-8"?>
<Properties xmlns="http://schemas.openxmlformats.org/officeDocument/2006/custom-properties" xmlns:vt="http://schemas.openxmlformats.org/officeDocument/2006/docPropsVTypes"/>
</file>