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2CA45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PHẢN BIỆN T</w:t>
      </w:r>
      <w:bookmarkStart w:id="0" w:name="_GoBack"/>
      <w:bookmarkEnd w:id="0"/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OÀN DIỆN BẢN THẢO SRS RIKKEITRAVEL</w:t>
      </w:r>
    </w:p>
    <w:p w14:paraId="15ED8BB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Bước 1 — Bảng lỗi phát hiện được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02"/>
        <w:gridCol w:w="3069"/>
        <w:gridCol w:w="1622"/>
        <w:gridCol w:w="3203"/>
      </w:tblGrid>
      <w:tr w14:paraId="2C4546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AB98610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STT</w:t>
            </w:r>
          </w:p>
        </w:tc>
        <w:tc>
          <w:tcPr>
            <w:tcW w:w="0" w:type="auto"/>
            <w:shd w:val="clear"/>
            <w:vAlign w:val="center"/>
          </w:tcPr>
          <w:p w14:paraId="0E56319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Nội dung lỗi</w:t>
            </w:r>
          </w:p>
        </w:tc>
        <w:tc>
          <w:tcPr>
            <w:tcW w:w="0" w:type="auto"/>
            <w:shd w:val="clear"/>
            <w:vAlign w:val="center"/>
          </w:tcPr>
          <w:p w14:paraId="358FB211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Phân loại lỗi</w:t>
            </w:r>
          </w:p>
        </w:tc>
        <w:tc>
          <w:tcPr>
            <w:tcW w:w="0" w:type="auto"/>
            <w:shd w:val="clear"/>
            <w:vAlign w:val="center"/>
          </w:tcPr>
          <w:p w14:paraId="7042826D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Vị trí đúng hoặc cách khắc phục</w:t>
            </w:r>
          </w:p>
        </w:tc>
      </w:tr>
      <w:tr w14:paraId="1B179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86C6E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53934B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Actor và Use Case đang đặt trong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2.4 Constraints</w:t>
            </w:r>
          </w:p>
        </w:tc>
        <w:tc>
          <w:tcPr>
            <w:tcW w:w="0" w:type="auto"/>
            <w:shd w:val="clear"/>
            <w:vAlign w:val="center"/>
          </w:tcPr>
          <w:p w14:paraId="23EC48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Sai vị trí IEEE 830</w:t>
            </w:r>
          </w:p>
        </w:tc>
        <w:tc>
          <w:tcPr>
            <w:tcW w:w="0" w:type="auto"/>
            <w:shd w:val="clear"/>
            <w:vAlign w:val="center"/>
          </w:tcPr>
          <w:p w14:paraId="54C7F2F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Đưa Actor/Use Case tổng thể vào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2.2 Product Functions</w:t>
            </w:r>
          </w:p>
        </w:tc>
      </w:tr>
      <w:tr w14:paraId="0E9401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E0606B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4D1AE3F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[1.3 Definitions]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lại chứa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sơ đồ ERD</w:t>
            </w:r>
          </w:p>
        </w:tc>
        <w:tc>
          <w:tcPr>
            <w:tcW w:w="0" w:type="auto"/>
            <w:shd w:val="clear"/>
            <w:vAlign w:val="center"/>
          </w:tcPr>
          <w:p w14:paraId="6743CF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Sai vị trí IEEE 830</w:t>
            </w:r>
          </w:p>
        </w:tc>
        <w:tc>
          <w:tcPr>
            <w:tcW w:w="0" w:type="auto"/>
            <w:shd w:val="clear"/>
            <w:vAlign w:val="center"/>
          </w:tcPr>
          <w:p w14:paraId="44B03F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7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[1.3 Definitions]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chỉ dùng cho thuật ngữ/định nghĩa. Đưa ERD vào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3.4 Database Requirements</w:t>
            </w:r>
          </w:p>
        </w:tc>
      </w:tr>
      <w:tr w14:paraId="07234F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B2F2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7E6397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REQ-21 dùng từ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“nhanh chóng”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nhưng không có thời gian cụ thể</w:t>
            </w:r>
          </w:p>
        </w:tc>
        <w:tc>
          <w:tcPr>
            <w:tcW w:w="0" w:type="auto"/>
            <w:shd w:val="clear"/>
            <w:vAlign w:val="center"/>
          </w:tcPr>
          <w:p w14:paraId="2BB7093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 phạm Verifiable</w:t>
            </w:r>
          </w:p>
        </w:tc>
        <w:tc>
          <w:tcPr>
            <w:tcW w:w="0" w:type="auto"/>
            <w:shd w:val="clear"/>
            <w:vAlign w:val="center"/>
          </w:tcPr>
          <w:p w14:paraId="752437C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Quy định thời gian phản hồi cụ thể, ví dụ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không quá 5 giây</w:t>
            </w:r>
          </w:p>
        </w:tc>
      </w:tr>
      <w:tr w14:paraId="00D03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0C8F5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741234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REQ-21 chưa nói rõ điều kiện/thời điểm bắt đầu và kết thúc việc phản hồi</w:t>
            </w:r>
          </w:p>
        </w:tc>
        <w:tc>
          <w:tcPr>
            <w:tcW w:w="0" w:type="auto"/>
            <w:shd w:val="clear"/>
            <w:vAlign w:val="center"/>
          </w:tcPr>
          <w:p w14:paraId="46B624C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 phạm Complete</w:t>
            </w:r>
          </w:p>
        </w:tc>
        <w:tc>
          <w:tcPr>
            <w:tcW w:w="0" w:type="auto"/>
            <w:shd w:val="clear"/>
            <w:vAlign w:val="center"/>
          </w:tcPr>
          <w:p w14:paraId="06A9D9E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Nêu rõ: từ lúc nhận yêu cầu đặt tour đến khi trả báo giá</w:t>
            </w:r>
          </w:p>
        </w:tc>
      </w:tr>
      <w:tr w14:paraId="365372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D47030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618409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REQ-23 cho phép sửa báo giá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bất kỳ lúc nào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, kể cả sau thanh toán</w:t>
            </w:r>
          </w:p>
        </w:tc>
        <w:tc>
          <w:tcPr>
            <w:tcW w:w="0" w:type="auto"/>
            <w:shd w:val="clear"/>
            <w:vAlign w:val="center"/>
          </w:tcPr>
          <w:p w14:paraId="45DECE8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 phạm Unambiguous</w:t>
            </w:r>
          </w:p>
        </w:tc>
        <w:tc>
          <w:tcPr>
            <w:tcW w:w="0" w:type="auto"/>
            <w:shd w:val="clear"/>
            <w:vAlign w:val="center"/>
          </w:tcPr>
          <w:p w14:paraId="741B3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Loại bỏ “bất kỳ lúc nào”, quy định rõ thời điểm được phép chỉnh sửa</w:t>
            </w:r>
          </w:p>
        </w:tc>
      </w:tr>
      <w:tr w14:paraId="29F82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E6CB3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5A28D90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REQ-23 và REQ-24 quy định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hai hành vi trái ngược nhau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sau khi thanh toán</w:t>
            </w:r>
          </w:p>
        </w:tc>
        <w:tc>
          <w:tcPr>
            <w:tcW w:w="0" w:type="auto"/>
            <w:shd w:val="clear"/>
            <w:vAlign w:val="center"/>
          </w:tcPr>
          <w:p w14:paraId="08043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 phạm Consistent</w:t>
            </w:r>
          </w:p>
        </w:tc>
        <w:tc>
          <w:tcPr>
            <w:tcW w:w="0" w:type="auto"/>
            <w:shd w:val="clear"/>
            <w:vAlign w:val="center"/>
          </w:tcPr>
          <w:p w14:paraId="24D384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Chọn một quy tắc nghiệp vụ duy nhất và áp dụng thống nhất</w:t>
            </w:r>
          </w:p>
        </w:tc>
      </w:tr>
      <w:tr w14:paraId="50E580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EF183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40616BD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REQ-25 dùng cụm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“có thể được cân nhắc”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, chưa phải yêu cầu bắt buộc</w:t>
            </w:r>
          </w:p>
        </w:tc>
        <w:tc>
          <w:tcPr>
            <w:tcW w:w="0" w:type="auto"/>
            <w:shd w:val="clear"/>
            <w:vAlign w:val="center"/>
          </w:tcPr>
          <w:p w14:paraId="5F0C1B6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 phạm Verifiable</w:t>
            </w:r>
          </w:p>
        </w:tc>
        <w:tc>
          <w:tcPr>
            <w:tcW w:w="0" w:type="auto"/>
            <w:shd w:val="clear"/>
            <w:vAlign w:val="center"/>
          </w:tcPr>
          <w:p w14:paraId="00E01A1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Chuyển thành yêu cầu có trạng thái/ưu tiên rõ ràng</w:t>
            </w:r>
          </w:p>
        </w:tc>
      </w:tr>
      <w:tr w14:paraId="0378AA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1415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B4E2D4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REQ-25 chưa có mức độ ưu tiên</w:t>
            </w:r>
          </w:p>
        </w:tc>
        <w:tc>
          <w:tcPr>
            <w:tcW w:w="0" w:type="auto"/>
            <w:shd w:val="clear"/>
            <w:vAlign w:val="center"/>
          </w:tcPr>
          <w:p w14:paraId="55C7BB2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Thiếu thông tin yêu cầu</w:t>
            </w:r>
          </w:p>
        </w:tc>
        <w:tc>
          <w:tcPr>
            <w:tcW w:w="0" w:type="auto"/>
            <w:shd w:val="clear"/>
            <w:vAlign w:val="center"/>
          </w:tcPr>
          <w:p w14:paraId="42335DC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Bổ sung </w:t>
            </w: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Priority: Should Have</w:t>
            </w: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 xml:space="preserve"> (hoặc mức khác nếu Product Owner xác định)</w:t>
            </w:r>
          </w:p>
        </w:tc>
      </w:tr>
      <w:tr w14:paraId="7F1A17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5E6EA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36EB03F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REQ-22 chỉ nêu trường hợp thanh toán đủ 100%, chưa quy định trường hợp thanh toán chưa đủ</w:t>
            </w:r>
          </w:p>
        </w:tc>
        <w:tc>
          <w:tcPr>
            <w:tcW w:w="0" w:type="auto"/>
            <w:shd w:val="clear"/>
            <w:vAlign w:val="center"/>
          </w:tcPr>
          <w:p w14:paraId="157ADB5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 phạm Complete</w:t>
            </w:r>
          </w:p>
        </w:tc>
        <w:tc>
          <w:tcPr>
            <w:tcW w:w="0" w:type="auto"/>
            <w:shd w:val="clear"/>
            <w:vAlign w:val="center"/>
          </w:tcPr>
          <w:p w14:paraId="7EDB3CD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Bổ sung: nếu chưa đủ 100% thì đơn không chuyển sang “Đã xác nhận”</w:t>
            </w:r>
          </w:p>
        </w:tc>
      </w:tr>
      <w:tr w14:paraId="4F6083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4ABBC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3FFD274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REQ-23 và REQ-24 nằm ở trang khác nhau nhưng không có quy tắc chung</w:t>
            </w:r>
          </w:p>
        </w:tc>
        <w:tc>
          <w:tcPr>
            <w:tcW w:w="0" w:type="auto"/>
            <w:shd w:val="clear"/>
            <w:vAlign w:val="center"/>
          </w:tcPr>
          <w:p w14:paraId="7CA6AC5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Style w:val="9"/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Vi phạm Consistent</w:t>
            </w:r>
          </w:p>
        </w:tc>
        <w:tc>
          <w:tcPr>
            <w:tcW w:w="0" w:type="auto"/>
            <w:shd w:val="clear"/>
            <w:vAlign w:val="center"/>
          </w:tcPr>
          <w:p w14:paraId="215EB53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b w:val="0"/>
                <w:bCs w:val="0"/>
                <w:kern w:val="0"/>
                <w:sz w:val="24"/>
                <w:szCs w:val="24"/>
                <w:lang w:val="en-US" w:eastAsia="zh-CN" w:bidi="ar"/>
              </w:rPr>
              <w:t>Ghi cùng một quy tắc nghiệp vụ tại phần yêu cầu liên quan và loại bỏ nội dung mâu thuẫn</w:t>
            </w:r>
          </w:p>
        </w:tc>
      </w:tr>
    </w:tbl>
    <w:p w14:paraId="0C6028D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Như vậy có thể xác định ít nhất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4 đặc tính vàng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đang bị ảnh hưởng: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Verifiable, Complete, Unambiguous và Consistent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04BE2C64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Bước 2 — Bản chỉnh sửa hoàn chỉnh</w:t>
      </w:r>
    </w:p>
    <w:p w14:paraId="55A1E2E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 Introduction</w:t>
      </w:r>
    </w:p>
    <w:p w14:paraId="2645F8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1.2 Scope</w:t>
      </w:r>
    </w:p>
    <w:p w14:paraId="2D0C2E64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Hệ thống hỗ trợ khách hàng doanh nghiệp đặt tour trọn gói cho nhóm từ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10 người trở lên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3DBF34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1.3 Definitions</w:t>
      </w:r>
    </w:p>
    <w:p w14:paraId="7B3F66B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Không đặt sơ đồ ERD tại mục này.</w:t>
      </w:r>
    </w:p>
    <w:p w14:paraId="3D5AEF1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Ví dụ:</w:t>
      </w:r>
    </w:p>
    <w:p w14:paraId="362352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Đơn đặt tour: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Yêu cầu đặt tour do khách hàng doanh nghiệp gửi đến RikkeiTravel. </w:t>
      </w:r>
    </w:p>
    <w:p w14:paraId="0A64088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Báo giá: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Thông tin chi phí tour được RikkeiTravel cung cấp cho khách hàng. </w:t>
      </w:r>
    </w:p>
    <w:p w14:paraId="628EE58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Hợp đồng: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Văn bản xác nhận thỏa thuận giữa khách hàng doanh nghiệp và RikkeiTravel. </w:t>
      </w:r>
    </w:p>
    <w:p w14:paraId="3D93D771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 Overall Description</w:t>
      </w:r>
    </w:p>
    <w:p w14:paraId="6E7B193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2.2 Product Functions</w:t>
      </w:r>
    </w:p>
    <w:p w14:paraId="55AB03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Actor</w:t>
      </w:r>
    </w:p>
    <w:p w14:paraId="0626C23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Nhân viên đặt tour: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Tạo yêu cầu đặt tour, xem và xác nhận báo giá, thực hiện thanh toán. </w:t>
      </w:r>
    </w:p>
    <w:p w14:paraId="289CAA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Điều phối viên RikkeiTravel: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Tiếp nhận yêu cầu, lập/chỉnh sửa báo giá và xử lý đơn đặt tour. </w:t>
      </w:r>
    </w:p>
    <w:p w14:paraId="4501041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Use Case</w:t>
      </w:r>
    </w:p>
    <w:p w14:paraId="4D26519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Tạo yêu cầu đặt tour </w:t>
      </w:r>
    </w:p>
    <w:p w14:paraId="01B8C75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Duyệt báo giá </w:t>
      </w:r>
    </w:p>
    <w:p w14:paraId="333F833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Xác nhận thanh toán </w:t>
      </w:r>
    </w:p>
    <w:p w14:paraId="63394BB8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Đây là nơi phù hợp để mô tả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Actor và các chức năng tổng thể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thay vì đặt trong 2.4 Constraints.</w:t>
      </w:r>
    </w:p>
    <w:p w14:paraId="2003700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2.4 Constraints</w:t>
      </w:r>
    </w:p>
    <w:p w14:paraId="048D9B5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Chỉ ghi các ràng buộc của hệ thống, ví dụ:</w:t>
      </w:r>
    </w:p>
    <w:p w14:paraId="215094F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Hệ thống phải tuân thủ các quy định bảo mật và thanh toán được áp dụng cho dịch vụ đặt tour. </w:t>
      </w:r>
    </w:p>
    <w:p w14:paraId="6936FC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Người dùng phải có quyền phù hợp để thực hiện các thao tác tương ứng. </w:t>
      </w:r>
    </w:p>
    <w:p w14:paraId="61749B5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 Specific Requirements</w:t>
      </w:r>
    </w:p>
    <w:p w14:paraId="38EE37D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3.2 Functional Requirements</w:t>
      </w:r>
    </w:p>
    <w:p w14:paraId="3A1D0C0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REQ-21 — Phản hồi báo giá</w:t>
      </w:r>
    </w:p>
    <w:p w14:paraId="7912DA9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REQ-21: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Sau khi hệ thống nhận đầy đủ yêu cầu đặt tour hợp lệ từ khách hàng doanh nghiệp, hệ thống phải phản hồi báo giá trong thời gian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không quá 5 giây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43457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REQ-22 — Xác nhận thanh toán</w:t>
      </w:r>
    </w:p>
    <w:p w14:paraId="670164F9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REQ-22: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Khi hệ thống xác nhận khách hàng đã thanh toán đủ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100% giá trị hợp đồng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, hệ thống phải tự động chuyển trạng thái đơn sang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“Đã xác nhận”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. Nếu số tiền thanh toán chưa đủ 100%, hệ thống không được chuyển đơn sang trạng thái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“Đã xác nhận”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2E67DC3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REQ-23/24 — Quy tắc chỉnh sửa báo giá</w:t>
      </w:r>
    </w:p>
    <w:p w14:paraId="2A7DE6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Xử lý dứt điểm mâu thuẫn bằng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một quy tắc duy nhất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:</w:t>
      </w:r>
    </w:p>
    <w:p w14:paraId="08280AE4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Sau khi khách hàng xác nhận thanh toán, mọi thông tin của báo giá được khóa và không được phép chỉnh sửa.</w:t>
      </w:r>
    </w:p>
    <w:p w14:paraId="347775BC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Do đó:</w:t>
      </w:r>
    </w:p>
    <w:p w14:paraId="2C04983B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REQ-23: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Điều phối viên được phép chỉnh sửa báo giá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trước khi khách hàng xác nhận thanh toán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5848FEB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REQ-24: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Sau khi khách hàng xác nhận thanh toán, hệ thống phải khóa báo giá;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không cho phép điều phối viên hoặc người dùng khác chỉnh sửa thông tin báo giá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7F2B97CE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Như vậy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REQ-23 và REQ-24 không còn mâu thuẫn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.</w:t>
      </w:r>
    </w:p>
    <w:p w14:paraId="02A848B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REQ-25 — Xuất báo giá PDF</w:t>
      </w:r>
    </w:p>
    <w:p w14:paraId="3584DBA8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REQ-25: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Hệ thống phải hỗ trợ xuất báo giá ra file PDF.</w:t>
      </w:r>
    </w:p>
    <w:p w14:paraId="6DF6EE76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Priority: Should Have</w:t>
      </w:r>
    </w:p>
    <w:p w14:paraId="183AD877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Có thể ghi rõ:</w:t>
      </w:r>
    </w:p>
    <w:p w14:paraId="64A0FB80">
      <w:pPr>
        <w:pStyle w:val="8"/>
        <w:keepNext w:val="0"/>
        <w:keepLines w:val="0"/>
        <w:widowControl/>
        <w:suppressLineNumbers w:val="0"/>
        <w:ind w:left="720" w:right="72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Tính năng xuất báo giá PDF có mức độ ưu tiên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Should Have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, được triển khai sau các chức năng bắt buộc của phân hệ nếu nguồn lực phát triển bị giới hạn.</w:t>
      </w:r>
    </w:p>
    <w:p w14:paraId="15B3E008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4C2544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>3.4 Database Requirements</w:t>
      </w:r>
    </w:p>
    <w:p w14:paraId="43877ED5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Đưa </w:t>
      </w: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ERD lưu trữ Yêu cầu đặt tour – Báo giá – Hợp đồng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vào mục này.</w:t>
      </w:r>
    </w:p>
    <w:p w14:paraId="2F9B8D40">
      <w:pPr>
        <w:pStyle w:val="8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Style w:val="9"/>
          <w:rFonts w:hint="default" w:ascii="Times New Roman" w:hAnsi="Times New Roman" w:cs="Times New Roman"/>
          <w:b w:val="0"/>
          <w:bCs w:val="0"/>
          <w:sz w:val="24"/>
          <w:szCs w:val="24"/>
        </w:rPr>
        <w:t>Lý do: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 ERD mô tả các thực thể, thuộc tính và quan hệ dữ liệu mà hệ thống cần lưu trữ.</w:t>
      </w:r>
    </w:p>
    <w:p w14:paraId="2F92268D">
      <w:pP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36FA2A"/>
    <w:multiLevelType w:val="multilevel"/>
    <w:tmpl w:val="8D36FA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A4F67DB"/>
    <w:multiLevelType w:val="multilevel"/>
    <w:tmpl w:val="CA4F67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D680D26"/>
    <w:multiLevelType w:val="multilevel"/>
    <w:tmpl w:val="FD680D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C4867CE"/>
    <w:multiLevelType w:val="multilevel"/>
    <w:tmpl w:val="1C4867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E47202"/>
    <w:rsid w:val="77E47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0"/>
    <w:rPr>
      <w:b/>
      <w:bCs/>
    </w:rPr>
  </w:style>
  <w:style w:type="table" w:styleId="10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1948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2026-10-02T04:33:00Z</dcterms:created>
  <dc:creator>Đại Đại</dc:creator>
  <cp:lastModifiedBy>Đại Đại</cp:lastModifiedBy>
  <dcterms:modified xsi:type="dcterms:W3CDTF">2026-10-03T13:03:04Z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F42642A65B4B490D8C3DCA994981D65B_11</vt:lpwstr>
  </property>
  <property fmtid="{D5CDD505-2E9C-101B-9397-08002B2CF9AE}" pid="4" name="KSOTemplateDocerSaveRecord">
    <vt:lpwstr>eyJoZGlkIjoiZjQ2ODc5MjkyMWNkOGRiNzg4ZjYzMmNmMDFiZDA2YjkiLCJ1c2VySWQiOiI4ODEzODk0NDExODI2In0=</vt:lpwstr>
  </property>
</Properties>
</file>