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ind w:hanging="0"/>
        <w:jc w:val="center"/>
        <w:rPr/>
      </w:pPr>
      <w:r>
        <w:rPr/>
        <w:t>Hậu xử lý đường đi có xét tính khả thi chuyển động</w:t>
        <w:br/>
        <w:t>cho robot vi sai trong môi trường kho</w:t>
      </w:r>
    </w:p>
    <w:p>
      <w:pPr>
        <w:pStyle w:val="BodyText"/>
        <w:keepNext w:val="true"/>
        <w:ind w:hanging="0"/>
        <w:jc w:val="center"/>
        <w:rPr/>
      </w:pPr>
      <w:r>
        <w:rPr>
          <w:sz w:val="22"/>
        </w:rPr>
        <w:t>Motion-Feasibility-Aware Path Post-Processing for Differential-Drive Robots in Warehouse Environments</w:t>
      </w:r>
    </w:p>
    <w:p>
      <w:pPr>
        <w:sectPr>
          <w:type w:val="nextPage"/>
          <w:pgSz w:w="11906" w:h="16838"/>
          <w:pgMar w:left="907" w:right="907" w:gutter="0" w:header="0" w:top="1247" w:footer="0" w:bottom="1247"/>
          <w:pgNumType w:fmt="decimal"/>
          <w:formProt w:val="false"/>
          <w:textDirection w:val="lrTb"/>
          <w:docGrid w:type="default" w:linePitch="600" w:charSpace="40960"/>
        </w:sectPr>
      </w:pPr>
    </w:p>
    <w:p>
      <w:pPr>
        <w:pStyle w:val="Heading1"/>
        <w:numPr>
          <w:ilvl w:val="0"/>
          <w:numId w:val="0"/>
        </w:numPr>
        <w:ind w:hanging="0" w:left="0"/>
        <w:jc w:val="center"/>
        <w:rPr/>
      </w:pPr>
      <w:r>
        <w:t xml:space="preserve">TÓM TẮT</w:t>
      </w:r>
    </w:p>
    <w:p>
      <w:pPr>
        <w:pStyle w:val="BodyText"/>
        <w:rPr/>
      </w:pPr>
      <w:r>
        <w:t xml:space="preserve">Trong hành lang kho, lựa chọn chuyển tiếp riêng rẽ tại từng góc chưa bảo đảm các thao tác ghép được với nhau khi cùng sử dụng một đoạn đường ngắn. Bài báo trình bày PSTMO (Path Smoothing and Turning-Maneuver Optimization), phương pháp hậu xử lý phối hợp chuyển tiếp Bézier bậc năm và quay tại chỗ cho robot vi sai. Các ứng viên được kiểm tra hình bao tại tư thế lấy mẫu trên costmap, xét giới hạn chuyển động và sàng lọc theo thời gian dự đoán trên cửa sổ chung. Quy hoạch động (DP) chọn chuỗi có tổng chi phí nhỏ nhất trong đồ thị ứng viên hữu hạn dưới ràng buộc chiều dài cắt trên cạnh chung. Phương pháp được đánh giá trong ROS 2 Jazzy/Nav2/Gazebo bằng ma trận khảo sát 125 lượt và bộ kiểm chứng lặp riêng gồm 250 lượt PSTMO–Constrained. Trên 118 cặp cùng đạt, trung bình đều chênh lệch của 25 nhóm tuyến–bộ lập kế hoạch ghi nhận PSTMO giảm thời gian thực thi 2,857 s và căn trung bình bình phương sai số bám đường (RMSE) 2,985 mm. Khoảng tin cậy bootstrap nhóm 95% tương ứng là [−3,716; −2,039] s và [−4,487; −1,506] mm. Lợi ích đi kèm giảm khoảng hở tham chiếu, tăng sai số vị trí cuối và tăng thời lượng hậu xử lý; số lượt đạt là 121/125 với PSTMO và 122/125 với Constrained. Kết quả mô tả lợi ích trung bình của toàn bộ PSTMO so với cấu hình đối chứng đã thử trên một bản đồ tĩnh và một robot mô phỏng; chưa tách đóng góp riêng của DP hoặc xác lập ưu thế tỷ lệ thành công.</w:t>
      </w:r>
    </w:p>
    <w:p>
      <w:pPr>
        <w:pStyle w:val="BodyText"/>
        <w:rPr/>
      </w:pPr>
      <w:r>
        <w:t xml:space="preserve">Từ khóa — Robot vi sai; hậu xử lý đường đi; tính khả thi chuyển động; chuyển tiếp Bézier; quy hoạch động; điều hướng trong kho.</w:t>
      </w:r>
    </w:p>
    <w:p>
      <w:pPr>
        <w:pStyle w:val="Heading1"/>
        <w:numPr>
          <w:ilvl w:val="0"/>
          <w:numId w:val="0"/>
        </w:numPr>
        <w:ind w:hanging="0" w:left="0"/>
        <w:jc w:val="center"/>
        <w:rPr/>
      </w:pPr>
      <w:r>
        <w:t xml:space="preserve">I GIỚI THIỆU</w:t>
      </w:r>
    </w:p>
    <w:p>
      <w:pPr>
        <w:pStyle w:val="BodyText"/>
        <w:rPr/>
      </w:pPr>
      <w:r>
        <w:t xml:space="preserve">Trong môi trường kho, một đường đi nối được điểm đầu và đích chưa đủ để xác định robot sẽ chuyển hướng và hoàn thành nhiệm vụ như thế nào. Với robot vi sai, đi theo chuyển tiếp cong và dừng để quay tại chỗ là hai lựa chọn có yêu cầu khác nhau về không gian, vận tốc và thời gian. Khi các góc liên tiếp nằm gần nhau, chúng còn cùng sử dụng chiều dài của một đoạn đường: phần dành cho chuyển tiếp ở góc trước có thể hạn chế lựa chọn tại góc sau. Bài báo tập trung vào sự phụ thuộc này ở tầng hậu xử lý đường đi. Phạm vi đó khác với thiết kế đội xe, lập lịch hay tổ chức logistics được khảo sát trong các tổng quan về AGV và robot di động tự hành [1], [2]; cải thiện chuyển động của một robot không tự động chứng minh tăng năng suất toàn kho.</w:t>
      </w:r>
    </w:p>
    <w:p>
      <w:pPr>
        <w:pStyle w:val="BodyText"/>
        <w:rPr/>
      </w:pPr>
      <w:r>
        <w:t xml:space="preserve">Các tổng quan về lập kế hoạch [3] và làm trơn đường đi [4] cho thấy chất lượng đường phụ thuộc mô hình robot, vật cản và tiêu chí đánh giá. Giảm độ cong có thể tạo điều kiện duy trì chuyển động tiến, nhưng việc nắn đường cũng có thể giảm khoảng hở. Hơn nữa, đường tham chiếu còn được thực thi qua bộ điều khiển và các tầng giới hạn vận tốc. Vì vậy, bài toán cần được đánh giá đồng thời bằng hình học đường, thời gian hoàn thành, sai số bám và các bất lợi đi kèm, không chỉ bằng một chỉ số độ trơn.</w:t>
      </w:r>
    </w:p>
    <w:p>
      <w:pPr>
        <w:pStyle w:val="Heading2"/>
        <w:numPr>
          <w:ilvl w:val="0"/>
          <w:numId w:val="0"/>
        </w:numPr>
        <w:ind w:hanging="0" w:left="0"/>
        <w:rPr/>
      </w:pPr>
      <w:r>
        <w:t xml:space="preserve">A Tầng hậu xử lý trong hệ thống điều hướng</w:t>
      </w:r>
    </w:p>
    <w:p>
      <w:pPr>
        <w:pStyle w:val="BodyText"/>
        <w:rPr/>
      </w:pPr>
      <w:r>
        <w:t xml:space="preserve">Trong các họ tìm kiếm dùng làm đầu vào ở nghiên cứu này, Dijkstra [5] và A* [6] giải bài toán trên đồ thị, còn Theta* cho phép kết nối theo hướng tự do trên lưới [7]. Không phải mọi bộ lập kế hoạch đều bỏ qua động học: Dolgov và cộng sự [8] kết hợp tìm kiếm trong không gian trạng thái xe với tối ưu đường; họ Smac cung cấp các lựa chọn tìm kiếm có xét chi phí và khả thi động học [9]. Những khác biệt đó làm thay đổi hình dạng đầu vào và mức độ cần thiết của hậu xử lý. PSTMO không thay thế bộ lập kế hoạch toàn cục, mà xử lý đường đã có để khảo sát lựa chọn chuyển hướng trên nhiều dạng đầu vào dưới cùng cấu hình điều khiển.</w:t>
      </w:r>
    </w:p>
    <w:p>
      <w:pPr>
        <w:pStyle w:val="Heading2"/>
        <w:numPr>
          <w:ilvl w:val="0"/>
          <w:numId w:val="0"/>
        </w:numPr>
        <w:ind w:hanging="0" w:left="0"/>
        <w:rPr/>
      </w:pPr>
      <w:r>
        <w:t xml:space="preserve">B Chuyển tiếp trơn và ràng buộc không gian</w:t>
      </w:r>
    </w:p>
    <w:p>
      <w:pPr>
        <w:pStyle w:val="BodyText"/>
        <w:rPr/>
      </w:pPr>
      <w:r>
        <w:t xml:space="preserve">Piazzi và cộng sự [10] xây dựng họ spline bậc năm G² với bốn tham số hình dạng, nội suy vị trí, hướng tiếp tuyến và độ cong ở hai đầu. Bài toán của họ gắn với dẫn hướng lặp cho xe kiểu ô tô dựa trên thị giác. Kết quả này xác lập tiền lệ rõ ràng cho nội suy bậc năm và tính liên tục G²; PSTMO không coi hai đặc điểm đó là mới. Trong PSTMO, cấu trúc điểm điều khiển bị giới hạn để độ cong tại hai đầu chuyển tiếp bằng không khi nối với đoạn thẳng, thay vì giải bài toán nội suy độ cong biên tùy ý. Tính G² là tính chất hình học tại mối nối chính quy, không tự bảo đảm liên tục gia tốc hay độ giật theo thời gian. Cũng cần phân biệt nó với điều kiện C² theo tham số được dùng trong làm trơn Bézier bậc ba từng đoạn của Phan Gia Luan và Nguyen Truong Thinh [11].</w:t>
      </w:r>
    </w:p>
    <w:p>
      <w:pPr>
        <w:pStyle w:val="BodyText"/>
        <w:rPr/>
      </w:pPr>
      <w:r>
        <w:t xml:space="preserve">Brezak và Petrović [12] giải bài toán gần hơn về mô hình robot: làm trơn đường gấp khúc cho robot vi sai bằng clothoid. Với đường tĩnh, cặp clothoid tạo chuyển tiếp liên tục độ cong; giới hạn phần cắt và độ lệch khỏi đỉnh điều chỉnh phạm vi nắn đường. Công trình còn xét nối từ trạng thái có độ cong ban đầu khác không khi cập nhật đường, kết hợp kiểm tra va chạm và khả thi chuyển động, rồi kiểm chứng trên robot. Do đó, không thể phân biệt PSTMO bằng nhận định rằng các phương pháp hình học trước đây bỏ qua robot vi sai hoặc khả năng thực thi. Khác biệt cần xem xét nằm ở việc PSTMO xây dựng tập hữu hạn chuyển tiếp Bézier và quay tại chỗ trên đường đầu vào, sau đó lựa chọn chúng dưới ràng buộc chiều dài cạnh chung; đây không phải bài toán nối clothoid từ độ cong ban đầu bất kỳ của [12].</w:t>
      </w:r>
    </w:p>
    <w:p>
      <w:pPr>
        <w:pStyle w:val="BodyText"/>
        <w:rPr/>
      </w:pPr>
      <w:r>
        <w:t xml:space="preserve">Ràng buộc không gian cũng có thể được đưa trực tiếp vào quá trình làm trơn. Pan và cộng sự [13] kết hợp liên tục độ cong với kiểm tra va chạm liên tục trong môi trường có vật cản; Andrei và cộng sự [14] sử dụng miền đa diện an toàn cho Bézier từng đoạn. Các kết quả đó cho thấy cần nêu rõ mô hình môi trường và loại kiểm tra đứng sau phát biểu an toàn. PSTMO kiểm tra hình bao robot tại các tư thế lấy mẫu trên costmap; phép kiểm tra này không kế thừa bảo đảm không va chạm liên tục của phương pháp khác và không xác định khoảng hở của toàn bộ quỹ đạo thực thi.</w:t>
      </w:r>
    </w:p>
    <w:p>
      <w:pPr>
        <w:pStyle w:val="Heading2"/>
        <w:numPr>
          <w:ilvl w:val="0"/>
          <w:numId w:val="0"/>
        </w:numPr>
        <w:ind w:hanging="0" w:left="0"/>
        <w:rPr/>
      </w:pPr>
      <w:r>
        <w:t xml:space="preserve">C Khả thi chuyển động, thời gian và lựa chọn chuỗi</w:t>
      </w:r>
    </w:p>
    <w:p>
      <w:pPr>
        <w:pStyle w:val="BodyText"/>
        <w:rPr/>
      </w:pPr>
      <w:r>
        <w:t xml:space="preserve">Mối liên hệ giữa hậu xử lý và thực thi đã được tiếp cận từ nhiều hướng. Elastic Bands [15] kết nối biến dạng đường với điều khiển; Richardson và Olson [16] tách tìm đường ngắn khỏi bước tăng khoảng hở. Andreasson và cộng sự xét chuyển kế hoạch rời rạc thành quỹ đạo chạy được [17] và làm trơn trong không gian trạng thái để cải thiện điều hướng [18]; GRIPS dùng thông tin gradient cùng hàm kết nối phù hợp chuyển động [19]. Các nguyên lý tối ưu như CHOMP [20] và STOMP [21] cung cấp những cách cập nhật quỹ đạo khác nhau, nhưng không phải các đối chứng đã chạy trong bài báo này. Đối với xe kiểu ô tô, Zhu và cộng sự [22] luân phiên tối ưu hình dạng và vận tốc. Những hướng này đặt lựa chọn hậu xử lý trong quan hệ với mô hình chuyển động, thay vì xem giảm độ cong là đại diện đầy đủ cho khả năng thực thi.</w:t>
      </w:r>
    </w:p>
    <w:p>
      <w:pPr>
        <w:pStyle w:val="BodyText"/>
        <w:rPr/>
      </w:pPr>
      <w:r>
        <w:t xml:space="preserve">Thời gian có thể là biến của bài toán tối ưu, như trong Timed Elastic Band [23] và tối ưu quỹ đạo trên các lớp tôpô khác nhau [24]. Khuôn khổ của Zhang và cộng sự [25] còn xét nhiều dạng chuyển động của lớp robot vi sai. Với đường Bézier, Benko Loknar và cộng sự [26] nghiên cứu sinh quỹ đạo thời gian nhỏ nhất dưới giới hạn vận tốc, gia tốc và độ giật. Vì vậy, xét thời gian, giới hạn chuyển động hoặc khả năng quay tại chỗ không tự thân xác lập đóng góp mới. Cần phân biệt tối ưu một quỹ đạo có tham số thời gian với việc dùng thời gian dự đoán để sàng lọc phương án hình học trước khi xuất đường tham chiếu.</w:t>
      </w:r>
    </w:p>
    <w:p>
      <w:pPr>
        <w:pStyle w:val="BodyText"/>
        <w:rPr/>
      </w:pPr>
      <w:r>
        <w:t xml:space="preserve">Blažič và cộng sự [27] đặc biệt gần với nghiên cứu này ở môi trường kho và việc ghép các nguyên thủy Bézier. Phương pháp của họ xác định vị trí, hướng và độ cong tại các điểm trung gian trong hành lang, rồi dựng các đoạn Bézier bậc ba nối chúng. Hướng và độ cong ở các điểm nối có thể được tối ưu để điều chỉnh toàn đường; do đó, không phù hợp nếu mô tả công trình này chỉ xử lý các góc độc lập. Bài toán xét cả điểm dừng bắt buộc. Trong ví dụ mô phỏng, vùng cấm được mở rộng để biểu diễn AGV bằng một điểm, nên không thể kết luận họ bỏ qua kích thước phương tiện.</w:t>
      </w:r>
    </w:p>
    <w:p>
      <w:pPr>
        <w:pStyle w:val="BodyText"/>
        <w:rPr/>
      </w:pPr>
      <w:r>
        <w:t xml:space="preserve">Sau bước hình học, [27] xây dựng hồ sơ vận tốc theo đường dưới giới hạn vận tốc và miền giới hạn gia tốc tiếp tuyến–hướng tâm dạng elip. Cần đọc riêng mục tiêu ở hai bước: dù công trình định hướng thời gian nhỏ nhất, bước tối ưu hình dạng trong ví dụ tại Mục 4.1 dùng tích phân bình phương độ cong và hình phạt ra ngoài hành lang, không trực tiếp cực tiểu thời gian chạy. So với cách điều chỉnh hướng và độ cong của chuỗi điểm nối đó, PSTMO giới hạn không gian quyết định ở các chuyển tiếp sinh từ chiều dài cắt và tham số hình dạng, cùng phương án quay tại chỗ trên đường đầu vào đã tiền xử lý. Thời gian dự đoán trên cửa sổ chung lọc ứng viên; quy hoạch động chọn chuỗi có tổng chi phí cục bộ nhỏ nhất dưới ràng buộc cạnh chung. PSTMO được tích hợp ở tầng smoother của Nav2 và đánh giá bằng thực thi vòng kín; đầu ra không phải lời giải tối ưu đồng thời hình dạng và hồ sơ vận tốc toàn đường. Đây là khác biệt về phát biểu, biến quyết định và tầng tích hợp, không phải bằng chứng PSTMO có hiệu năng tốt hơn [27].</w:t>
      </w:r>
    </w:p>
    <w:p>
      <w:pPr>
        <w:pStyle w:val="BodyText"/>
        <w:rPr/>
      </w:pPr>
      <w:r>
        <w:t xml:space="preserve">Quy hoạch động kết hợp làm trơn Bézier cũng đã có tiền lệ. Choi [28] dùng DP chọn chuỗi điểm rời rạc trong miền hành lang để tạo đường gấp khúc, rồi làm trơn bằng Bézier và xác định hồ sơ vận tốc. Trong PSTMO, đường đầu vào đã có; trạng thái DP là phương án chuyển hướng tại mỗi góc. Khác biệt nằm ở đối tượng được lựa chọn và quan hệ tương thích, không phải ở việc lần đầu kết hợp DP với Bézier.</w:t>
      </w:r>
    </w:p>
    <w:p>
      <w:pPr>
        <w:pStyle w:val="BodyText"/>
        <w:rPr/>
      </w:pPr>
      <w:r>
        <w:t xml:space="preserve">Trong Nav2, Constrained Smoother là bộ tối ưu số với các thành phần chi phí về độ trơn, độ cong, khoảng cách tới đường gốc và chi phí vật cản có thể cấu hình [29]. Chúng không đồng nhất với các giới hạn vận tốc bánh và phép so sánh thời gian nội bộ PSTMO. Khả năng cấu hình cần được tách khỏi cấu hình đã thử: nghiên cứu dùng trọng số độ cong và khoảng cách tới đường gốc bằng không cho Constrained, cùng các tham số nêu ở Mục III-A. Vì vậy, đối chứng cho biết hiệu quả tương đối trong thiết lập đó, không xác định giới hạn hiệu năng của Constrained Smoother.</w:t>
      </w:r>
    </w:p>
    <w:p>
      <w:pPr>
        <w:pStyle w:val="Heading2"/>
        <w:numPr>
          <w:ilvl w:val="0"/>
          <w:numId w:val="0"/>
        </w:numPr>
        <w:ind w:hanging="0" w:left="0"/>
        <w:rPr/>
      </w:pPr>
      <w:r>
        <w:t xml:space="preserve">D Bài toán nghiên cứu và định hướng phương pháp</w:t>
      </w:r>
    </w:p>
    <w:p>
      <w:pPr>
        <w:pStyle w:val="BodyText"/>
        <w:rPr/>
      </w:pPr>
      <w:r>
        <w:t xml:space="preserve">Đối chiếu trên không cho phép coi phối hợp chuỗi nguyên thủy, Bézier G² hay lập kế hoạch có xét thời gian là những vấn đề chưa từng được nghiên cứu. Bài toán cụ thể ở đây là phối hợp các thao tác chuyển hướng trong một tầng hậu xử lý cho robot vi sai: giữ đường toàn cục làm đầu vào, tạo các phương án khả thi theo mô hình và kiểm tra hình bao lấy mẫu, rồi chọn chuỗi thỏa tương thích hình học giữa những góc liên tiếp. So với các phát biểu đã đối chiếu, trọng tâm là quan hệ giữa lựa chọn Bézier–quay tại chỗ và phần chiều dài bị chiếm dụng trên cạnh chung, trong khi không tối ưu lại liên tục mọi vị trí điểm nối hay vận tốc dọc toàn đường.</w:t>
      </w:r>
    </w:p>
    <w:p>
      <w:pPr>
        <w:pStyle w:val="BodyText"/>
        <w:rPr/>
      </w:pPr>
      <w:r>
        <w:t xml:space="preserve">Một chuyển tiếp có chi phí thấp ở góc này có thể dùng phần cạnh mà góc kế tiếp cần; vì thế, tối ưu từng góc riêng rẽ chưa bảo đảm chuỗi ghép hợp lệ. Quay tại chỗ không sử dụng chiều dài cắt nhưng vẫn cần không gian cho hình bao khi đổi hướng. Đồng thời, so sánh chỉ thời gian trên đoạn cong với thời gian xoay sẽ bỏ qua phần tiến đến và rời đỉnh. PSTMO đặt các phương án trên cửa sổ so sánh chung với vận tốc biên tương ứng, rồi dùng DP để xử lý phụ thuộc giữa lựa chọn tại các góc. Bảo đảm tối ưu chỉ thuộc tổng chi phí đã định nghĩa trên đồ thị ứng viên hữu hạn được giữ lại; nó không phải bảo đảm tối ưu thời gian thực thi hoặc tối ưu toàn cục trong không gian đường liên tục.</w:t>
      </w:r>
    </w:p>
    <w:p>
      <w:pPr>
        <w:pStyle w:val="BodyText"/>
        <w:rPr/>
      </w:pPr>
      <w:r>
        <w:t xml:space="preserve">Câu hỏi nghiên cứu là: việc phối hợp lựa chọn chuyển tiếp Bézier và quay tại chỗ dưới ràng buộc khả thi chuyển động và tương thích giữa các góc liên tiếp đem lại những lợi ích và đánh đổi nào đối với khả năng thực thi đường đi của robot vi sai? Các chỉ số cần trả lời gồm thời gian hoàn thành, RMSE bám đường, hình học quỹ đạo thực thi, khoảng hở tham chiếu, sai số cuối, tỷ lệ đạt và thời lượng hậu xử lý. Nghiên cứu về khởi tạo Timed Elastic Band của Persson và cộng sự [30] cho thấy đầu vào cũng cần được xem xét; thiết kế hiện tại dùng nhiều bộ lập kế hoạch và so sánh ghép cặp trên cùng đường gốc. Câu hỏi được kiểm chứng ở cấp toàn bộ PSTMO, chưa tách tác động nhân quả của từng thành phần.</w:t>
      </w:r>
    </w:p>
    <w:p>
      <w:pPr>
        <w:pStyle w:val="Heading2"/>
        <w:numPr>
          <w:ilvl w:val="0"/>
          <w:numId w:val="0"/>
        </w:numPr>
        <w:ind w:hanging="0" w:left="0"/>
        <w:rPr/>
      </w:pPr>
      <w:r>
        <w:t xml:space="preserve">E Đóng góp và phạm vi đánh giá</w:t>
      </w:r>
    </w:p>
    <w:p>
      <w:pPr>
        <w:pStyle w:val="BodyText"/>
        <w:rPr/>
      </w:pPr>
      <w:r>
        <w:t xml:space="preserve">Đóng góp phương pháp là cơ chế tổ chức hậu xử lý thành lựa chọn chuỗi thao tác chuyển hướng có xét cạnh chung: kết hợp ứng viên Bézier bậc năm G² và quay tại chỗ, kiểm tra hình bao lấy mẫu và giới hạn chuyển động, sàng lọc theo thời gian dự đoán trên cửa sổ chung, rồi giải bài toán chi phí cộng bằng DP hữu hạn. Tính G² chỉ áp dụng cho các mối nối Bézier–đoạn thẳng được xây dựng, không áp dụng cho thao tác quay tại chỗ hay bảo đảm tính trơn theo thời gian. Trọng tâm đóng góp là sự phối hợp các quyết định trong phát biểu này, không phải tính mới của từng kỹ thuật riêng lẻ.</w:t>
      </w:r>
    </w:p>
    <w:p>
      <w:pPr>
        <w:pStyle w:val="BodyText"/>
        <w:rPr/>
      </w:pPr>
      <w:r>
        <w:t xml:space="preserve">Đóng góp thực nghiệm là đánh giá đồng thời đường tham chiếu và chuyển động vòng kín trong ROS 2 Jazzy/Nav2/Gazebo. Ma trận khảo sát 125 lượt gồm năm tuyến, năm bộ lập kế hoạch và năm phương án: đường gốc, Simple, Savitzky–Golay, Constrained và PSTMO. Bộ kiểm chứng lặp riêng gồm 250 lượt chỉ so sánh PSTMO với Constrained. Regulated Pure Pursuit (RPP) [31] được giữ cùng cấu hình; hồ sơ vận tốc nội bộ PSTMO phục vụ đánh giá ứng viên, không phải chuỗi lệnh mà RPP bắt buộc tuân theo. Các lượt không đạt và đánh đổi được giữ trong báo cáo. Chưa có thí nghiệm loại bỏ thành phần để quy riêng lợi ích thực thi cho DP hoặc lựa chọn quay tại chỗ.</w:t>
      </w:r>
    </w:p>
    <w:p>
      <w:pPr>
        <w:pStyle w:val="BodyText"/>
        <w:rPr/>
      </w:pPr>
      <w:r>
        <w:t xml:space="preserve">Phần II trình bày thuật toán cùng phạm vi của các kiểm tra; Phần III tách khảo sát một lượt khỏi kiểm chứng lặp, phân tích lợi ích, bất lợi và giới hạn suy luận; Phần IV tổng kết những kết luận được dữ liệu hỗ trợ. Phạm vi đánh giá là một bản đồ tĩnh, một robot mô phỏng và các cấu hình đã nêu, không phải hiệu quả phổ quát trong mọi môi trường kho.</w:t>
      </w:r>
    </w:p>
    <w:p>
      <w:pPr>
        <w:pStyle w:val="Heading1"/>
        <w:keepNext w:val="true"/>
        <w:numPr>
          <w:ilvl w:val="0"/>
          <w:numId w:val="0"/>
        </w:numPr>
        <w:ind w:hanging="0" w:left="0"/>
        <w:rPr/>
      </w:pPr>
      <w:r>
        <w:rPr/>
        <w:t>II. XÂY DỰNG THUẬT TOÁN PSTMO</w:t>
      </w:r>
    </w:p>
    <w:p>
      <w:pPr>
        <w:pStyle w:val="Heading2"/>
        <w:keepNext w:val="true"/>
        <w:numPr>
          <w:ilvl w:val="0"/>
          <w:numId w:val="0"/>
        </w:numPr>
        <w:ind w:hanging="0" w:left="0"/>
        <w:rPr/>
      </w:pPr>
      <w:r>
        <w:rPr/>
        <w:t>A. Bài toán hậu xử lý và phạm vi của phương pháp</w:t>
      </w:r>
    </w:p>
    <w:p>
      <w:pPr>
        <w:pStyle w:val="BodyText"/>
        <w:rPr/>
      </w:pPr>
      <w:r>
        <w:rP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rPr/>
      </w:pPr>
      <w:r>
        <w:rP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pStyle w:val="Normal"/>
        <w:keepNext w:val="true"/>
        <w:spacing w:before="60" w:after="0"/>
        <w:ind w:hanging="0"/>
        <w:jc w:val="center"/>
        <w:rPr/>
      </w:pPr>
      <w:r>
        <w:rPr/>
        <w:drawing>
          <wp:inline distT="0" distB="0" distL="0" distR="0">
            <wp:extent cx="3089910" cy="2085975"/>
            <wp:effectExtent l="0" t="0" r="0" b="0"/>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pic:cNvPicPr>
                      <a:picLocks noChangeAspect="1" noChangeArrowheads="1"/>
                    </pic:cNvPicPr>
                  </pic:nvPicPr>
                  <pic:blipFill>
                    <a:blip r:embed="rId2"/>
                    <a:stretch>
                      <a:fillRect/>
                    </a:stretch>
                  </pic:blipFill>
                  <pic:spPr bwMode="auto">
                    <a:xfrm>
                      <a:off x="0" y="0"/>
                      <a:ext cx="3089910" cy="2085975"/>
                    </a:xfrm>
                    <a:prstGeom prst="rect">
                      <a:avLst/>
                    </a:prstGeom>
                  </pic:spPr>
                </pic:pic>
              </a:graphicData>
            </a:graphic>
          </wp:inline>
        </w:drawing>
      </w:r>
    </w:p>
    <w:p>
      <w:pPr>
        <w:pStyle w:val="figurecaption"/>
        <w:keepNext w:val="false"/>
        <w:keepLines/>
        <w:numPr>
          <w:ilvl w:val="0"/>
          <w:numId w:val="0"/>
        </w:numPr>
        <w:ind w:hanging="0" w:left="0"/>
        <w:rPr/>
      </w:pPr>
      <w:r>
        <w:rP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rPr/>
      </w:pPr>
      <w:r>
        <w:rPr/>
        <w:t>Bước tiền xử lý loại các điểm liên tiếp trùng nhau, rút gọn đường theo giới hạn độ lệch và xử lý dao động hình học cục bộ; các đoạn thay thế đều được kiểm tra va chạm. Cấu hình khảo sát không bật bước rút gọn riêng theo đường nhìn giữa các điểm. Tiền xử lý vẫn có thể thay đổi hình học đường đầu vào. Kết quả thực nghiệm vì thế đánh giá toàn bộ PSTMO, bao gồm tiền xử lý và lựa chọn chuyển tiếp.</w:t>
      </w:r>
    </w:p>
    <w:p>
      <w:pPr>
        <w:pStyle w:val="Heading2"/>
        <w:keepNext w:val="true"/>
        <w:numPr>
          <w:ilvl w:val="0"/>
          <w:numId w:val="0"/>
        </w:numPr>
        <w:ind w:hanging="0" w:left="0"/>
        <w:rPr/>
      </w:pPr>
      <w:r>
        <w:rPr/>
        <w:t>B. Xây dựng đoạn chuyển tiếp có tính liên tục hình học G²</w:t>
      </w:r>
    </w:p>
    <w:p>
      <w:pPr>
        <w:pStyle w:val="BodyText"/>
        <w:rPr/>
      </w:pPr>
      <w:r>
        <w:rPr/>
        <w:t>Biểu diễn Bézier dựa trên cơ sở Bernstein [32]; B-spline [33] và NURBS [34] cung cấp những lựa chọn khác cho thiết kế đường cong. PSTMO dùng một đoạn đa thức bậc năm tại mỗi góc để áp điều kiện đầu mút bằng điểm điều khiển, không tối ưu một spline trên toàn tuyến. Các xoắn ốc Bézier bậc năm Pythagorean-hodograph có những tính chất riêng về độ dài cung và chuyển tiếp [35]; đường bậc năm ở đây không được giả định thuộc lớp PH. Việc chọn bậc và cơ sở biểu diễn vì vậy tách biệt với các tính chất cần chứng minh cho đoạn cụ thể.</w:t>
      </w:r>
    </w:p>
    <w:p>
      <w:pPr>
        <w:pStyle w:val="BodyText"/>
        <w:rPr/>
      </w:pPr>
      <w:r>
        <w:rPr/>
        <w:t>Chiều dài cắt d là khoảng cách từ đỉnh C đến điểm nối trên mỗi cạnh kề. Với d &gt; 0 và 0 &lt; α ≤ 0,5, đặt A = C − du, B = C + dw và q = αd. Sáu điểm điều khiển được xác định trong công thức 1; công thức 2 biểu diễn đường Bézier bậc năm theo tham số hình học t, không phải thời gian. Hình 2 thể hiện các điểm nối và hướng tiếp tuyến tại hai đầu.</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u</m:t>
        </m:r>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u</m:t>
        </m:r>
        <m:r>
          <w:rPr>
            <w:rFonts w:ascii="Cambria Math" w:hAnsi="Cambria Math"/>
          </w:rPr>
          <m:t xml:space="preserve">;</m:t>
        </m:r>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3</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q</m:t>
        </m:r>
        <m:r>
          <w:rPr>
            <w:rFonts w:ascii="Cambria Math" w:hAnsi="Cambria Math"/>
          </w:rPr>
          <m:t xml:space="preserve">w</m:t>
        </m:r>
        <m:r>
          <w:rPr>
            <w:rFonts w:ascii="Cambria Math" w:hAnsi="Cambria Math"/>
          </w:rPr>
          <m:t xml:space="preserve">,</m:t>
        </m:r>
        <m:sSub>
          <m:e>
            <m:r>
              <w:rPr>
                <w:rFonts w:ascii="Cambria Math" w:hAnsi="Cambria Math"/>
              </w:rPr>
              <m:t xml:space="preserve">P</m:t>
            </m:r>
          </m:e>
          <m:sub>
            <m:r>
              <w:rPr>
                <w:rFonts w:ascii="Cambria Math" w:hAnsi="Cambria Math"/>
              </w:rPr>
              <m:t xml:space="preserve">4</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q</m:t>
        </m:r>
        <m:r>
          <w:rPr>
            <w:rFonts w:ascii="Cambria Math" w:hAnsi="Cambria Math"/>
          </w:rPr>
          <m:t xml:space="preserve">w</m:t>
        </m:r>
        <m:r>
          <w:rPr>
            <w:rFonts w:ascii="Cambria Math" w:hAnsi="Cambria Math"/>
          </w:rPr>
          <m:t xml:space="preserve">,</m:t>
        </m:r>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r>
          <w:rPr>
            <w:rFonts w:ascii="Cambria Math" w:hAnsi="Cambria Math"/>
          </w:rPr>
          <m:t xml:space="preserve">B</m:t>
        </m:r>
        <m:r>
          <w:rPr>
            <w:rFonts w:ascii="Cambria Math" w:hAnsi="Cambria Math"/>
          </w:rPr>
          <m:t xml:space="preserve">.</m:t>
        </m:r>
      </m:oMath>
      <w:r>
        <w:rPr/>
        <w:tab/>
        <w:t>(1)</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5</m:t>
            </m:r>
          </m:sup>
          <m:e>
            <m:d>
              <m:dPr>
                <m:begChr m:val="("/>
                <m:endChr m:val=")"/>
              </m:dPr>
              <m:e>
                <m:f>
                  <m:num>
                    <m:r>
                      <w:rPr>
                        <w:rFonts w:ascii="Cambria Math" w:hAnsi="Cambria Math"/>
                      </w:rPr>
                      <m:t xml:space="preserve">5</m:t>
                    </m:r>
                  </m:num>
                  <m:den>
                    <m:r>
                      <w:rPr>
                        <w:rFonts w:ascii="Cambria Math" w:hAnsi="Cambria Math"/>
                      </w:rPr>
                      <m:t xml:space="preserve">j</m:t>
                    </m:r>
                  </m:den>
                </m:f>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sSup>
              <m:e>
                <m:r>
                  <w:rPr>
                    <w:rFonts w:ascii="Cambria Math" w:hAnsi="Cambria Math"/>
                  </w:rPr>
                  <m:t xml:space="preserve">)</m:t>
                </m:r>
              </m:e>
              <m:sup>
                <m:r>
                  <w:rPr>
                    <w:rFonts w:ascii="Cambria Math" w:hAnsi="Cambria Math"/>
                  </w:rPr>
                  <m:t xml:space="preserve">5</m:t>
                </m:r>
                <m:r>
                  <w:rPr>
                    <w:rFonts w:ascii="Cambria Math" w:hAnsi="Cambria Math"/>
                  </w:rPr>
                  <m:t xml:space="preserve">−</m:t>
                </m:r>
                <m:r>
                  <w:rPr>
                    <w:rFonts w:ascii="Cambria Math" w:hAnsi="Cambria Math"/>
                  </w:rPr>
                  <m:t xml:space="preserve">j</m:t>
                </m:r>
              </m:sup>
            </m:sSup>
            <m:sSup>
              <m:e>
                <m:r>
                  <w:rPr>
                    <w:rFonts w:ascii="Cambria Math" w:hAnsi="Cambria Math"/>
                  </w:rPr>
                  <m:t xml:space="preserve">t</m:t>
                </m:r>
              </m:e>
              <m:sup>
                <m:r>
                  <w:rPr>
                    <w:rFonts w:ascii="Cambria Math" w:hAnsi="Cambria Math"/>
                  </w:rPr>
                  <m:t xml:space="preserve">j</m:t>
                </m:r>
              </m:sup>
            </m:sSup>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r>
              <w:rPr>
                <w:rFonts w:ascii="Cambria Math" w:hAnsi="Cambria Math"/>
              </w:rPr>
              <m:t xml:space="preserve">.</m:t>
            </m:r>
          </m:e>
        </m:nary>
      </m:oMath>
      <w:r>
        <w:rPr/>
        <w:tab/>
        <w:t>(2)</w:t>
      </w:r>
    </w:p>
    <w:p>
      <w:pPr>
        <w:pStyle w:val="BodyText"/>
        <w:rPr/>
      </w:pPr>
      <w:r>
        <w:rPr/>
        <w:t>Ba điểm điều khiển ở mỗi đầu thẳng hàng và cách đều. Do đó, r′(0) = 5qu, r′(1) = 5qw và r″(0) = r″(1) = 0. Vì q &gt; 0 và u, w là vectơ đơn vị, đạo hàm bậc nhất tại hai đầu khác không. Độ cong hai đầu bằng không, trùng với cạnh thẳng. Các mối nối này đạt G² về vị trí, hướng tiếp tuyến và độ cong; tính chất đó không áp dụng cho quay tại chỗ và không bảo đảm liên tục theo thời gian của vận tốc, gia tốc hoặc độ giật khi thực thi.</w:t>
      </w:r>
    </w:p>
    <w:p>
      <w:pPr>
        <w:pStyle w:val="Normal"/>
        <w:keepNext w:val="true"/>
        <w:spacing w:before="60" w:after="0"/>
        <w:ind w:hanging="0"/>
        <w:jc w:val="center"/>
        <w:rPr/>
      </w:pPr>
      <w:r>
        <w:rPr/>
        <w:drawing>
          <wp:inline distT="0" distB="0" distL="0" distR="0">
            <wp:extent cx="3089910" cy="2423160"/>
            <wp:effectExtent l="0" t="0" r="0" b="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ấu trúc Bézier bậc năm cho một góc vuông minh họa. P₀ và P₅ nằm trên hai cạnh; ba điểm đầu và ba điểm cuối thẳng hàng theo các tiếp tuyến tương ứng. Hình không biểu diễn một lượt đo cụ thể."/>
                    <pic:cNvPicPr>
                      <a:picLocks noChangeAspect="1" noChangeArrowheads="1"/>
                    </pic:cNvPicPr>
                  </pic:nvPicPr>
                  <pic:blipFill>
                    <a:blip r:embed="rId3"/>
                    <a:stretch>
                      <a:fillRect/>
                    </a:stretch>
                  </pic:blipFill>
                  <pic:spPr bwMode="auto">
                    <a:xfrm>
                      <a:off x="0" y="0"/>
                      <a:ext cx="3089910" cy="2423160"/>
                    </a:xfrm>
                    <a:prstGeom prst="rect">
                      <a:avLst/>
                    </a:prstGeom>
                  </pic:spPr>
                </pic:pic>
              </a:graphicData>
            </a:graphic>
          </wp:inline>
        </w:drawing>
      </w:r>
    </w:p>
    <w:p>
      <w:pPr>
        <w:pStyle w:val="figurecaption"/>
        <w:keepNext w:val="false"/>
        <w:keepLines/>
        <w:numPr>
          <w:ilvl w:val="0"/>
          <w:numId w:val="0"/>
        </w:numPr>
        <w:ind w:hanging="0" w:left="0"/>
        <w:rPr/>
      </w:pPr>
      <w:r>
        <w:rP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rPr/>
      </w:pPr>
      <w:r>
        <w:rPr/>
        <w:t>Tối ưu hình dạng dưới ràng buộc độ cong có tiền lệ trong phương pháp biến dạng đường của Delingette và cộng sự [36]. Trong PSTMO, tích phân bình phương độ cong được dùng như một tiêu chí hình học khi tìm hình dạng và một thành phần chi phí sau chuẩn hóa. Vai trò này không đồng nhất với tối thiểu thời gian hoặc năng lượng cơ học.</w:t>
      </w:r>
    </w:p>
    <w:p>
      <w:pPr>
        <w:pStyle w:val="BodyText"/>
        <w:rPr/>
      </w:pPr>
      <w:r>
        <w:rPr/>
        <w:t xml:space="preserve">Công thức 3 xác định độ cong κ và tích phân bình phương độ cong </w:t>
      </w:r>
      <w:r>
        <w:rPr>
          <w:i/>
        </w:rPr>
        <w:t>E</w:t>
      </w:r>
      <w:r>
        <w:rPr>
          <w:vertAlign w:val="subscript"/>
        </w:rPr>
        <w:t>κ</w:t>
      </w:r>
      <w:r>
        <w:rPr/>
        <w:t xml:space="preserve"> theo chiều dài cung. </w:t>
      </w:r>
      <w:r>
        <w:rPr>
          <w:i/>
        </w:rPr>
        <w:t>E</w:t>
      </w:r>
      <w:r>
        <w:rPr>
          <w:vertAlign w:val="subscript"/>
        </w:rPr>
        <w:t>κ</w:t>
      </w:r>
      <w:r>
        <w:rPr/>
        <w:t xml:space="preserve"> có đơn vị m⁻¹, không biểu thị năng lượng tiêu thụ; giá trị nhỏ hơn không có nghĩa độ cong nhỏ hơn tại mọi điểm. Trong tìm hình dạng, độ cong được tính từ đạo hàm Bézier tại các mẫu; </w:t>
      </w:r>
      <w:r>
        <w:rPr>
          <w:i/>
        </w:rPr>
        <w:t>E</w:t>
      </w:r>
      <w:r>
        <w:rPr>
          <w:vertAlign w:val="subscript"/>
        </w:rPr>
        <w:t>κ</w:t>
      </w:r>
      <w:r>
        <w:rPr/>
        <w:t xml:space="preserve"> được xấp xỉ bằng quy tắc hình thang với chiều dài dây cung. Thuật toán loại đường khi phát hiện đạo hàm suy biến, giá trị không hữu hạn hoặc đổi dấu độ cong ngoài dung sai tại các mẫu kiểm tra.</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κ</m:t>
        </m:r>
        <m:r>
          <w:rPr>
            <w:rFonts w:ascii="Cambria Math" w:hAnsi="Cambria Math"/>
          </w:rPr>
          <m:t xml:space="preserve">=</m:t>
        </m:r>
        <m:f>
          <m:num>
            <m:sSup>
              <m:e>
                <m:r>
                  <w:rPr>
                    <w:rFonts w:ascii="Cambria Math" w:hAnsi="Cambria Math"/>
                  </w:rPr>
                  <m:t xml:space="preserve">x</m:t>
                </m:r>
              </m:e>
              <m:sup>
                <m:r>
                  <w:rPr>
                    <w:rFonts w:ascii="Cambria Math" w:hAnsi="Cambria Math"/>
                  </w:rPr>
                  <m:t xml:space="preserve">′</m:t>
                </m:r>
              </m:sup>
            </m:sSup>
            <m:sSup>
              <m:e>
                <m:r>
                  <w:rPr>
                    <w:rFonts w:ascii="Cambria Math" w:hAnsi="Cambria Math"/>
                  </w:rPr>
                  <m:t xml:space="preserve">y</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m:t>
                </m:r>
              </m:sup>
            </m:sSup>
            <m:sSup>
              <m:e>
                <m:r>
                  <w:rPr>
                    <w:rFonts w:ascii="Cambria Math" w:hAnsi="Cambria Math"/>
                  </w:rPr>
                  <m:t xml:space="preserve">x</m:t>
                </m:r>
              </m:e>
              <m:sup>
                <m:r>
                  <w:rPr>
                    <w:rFonts w:ascii="Cambria Math" w:hAnsi="Cambria Math"/>
                  </w:rPr>
                  <m:t xml:space="preserve">″</m:t>
                </m:r>
              </m:sup>
            </m:sSup>
          </m:num>
          <m:den>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m:t>
                </m:r>
                <m:r>
                  <w:rPr>
                    <w:rFonts w:ascii="Cambria Math" w:hAnsi="Cambria Math"/>
                  </w:rPr>
                  <m:t xml:space="preserve">2</m:t>
                </m:r>
              </m:sup>
            </m:sSup>
            <m:sSup>
              <m:e>
                <m:r>
                  <w:rPr>
                    <w:rFonts w:ascii="Cambria Math" w:hAnsi="Cambria Math"/>
                  </w:rPr>
                  <m:t xml:space="preserve">)</m:t>
                </m:r>
              </m:e>
              <m:sup>
                <m:f>
                  <m:fPr>
                    <m:type m:val="lin"/>
                  </m:fPr>
                  <m:num>
                    <m:r>
                      <w:rPr>
                        <w:rFonts w:ascii="Cambria Math" w:hAnsi="Cambria Math"/>
                      </w:rPr>
                      <m:t xml:space="preserve">3</m:t>
                    </m:r>
                  </m:num>
                  <m:den>
                    <m:r>
                      <w:rPr>
                        <w:rFonts w:ascii="Cambria Math" w:hAnsi="Cambria Math"/>
                      </w:rPr>
                      <m:t xml:space="preserve">2</m:t>
                    </m:r>
                  </m:den>
                </m:f>
              </m:sup>
            </m:sSup>
          </m:den>
        </m:f>
        <m:r>
          <w:rPr>
            <w:rFonts w:ascii="Cambria Math" w:hAnsi="Cambria Math"/>
          </w:rPr>
          <m:t xml:space="preserve">,</m:t>
        </m:r>
        <m:sSub>
          <m:e>
            <m:r>
              <w:rPr>
                <w:rFonts w:ascii="Cambria Math" w:hAnsi="Cambria Math"/>
              </w:rPr>
              <m:t xml:space="preserve">E</m:t>
            </m:r>
          </m:e>
          <m:sub>
            <m:r>
              <w:rPr>
                <w:rFonts w:ascii="Cambria Math" w:hAnsi="Cambria Math"/>
              </w:rPr>
              <m:t xml:space="preserve">κ</m:t>
            </m:r>
          </m:sub>
        </m:sSub>
        <m:r>
          <w:rPr>
            <w:rFonts w:ascii="Cambria Math" w:hAnsi="Cambria Math"/>
          </w:rPr>
          <m:t xml:space="preserve">=</m:t>
        </m:r>
        <m:r>
          <w:rPr>
            <w:rFonts w:ascii="Cambria Math" w:hAnsi="Cambria Math"/>
          </w:rPr>
          <m:t xml:space="preserve">∫</m:t>
        </m:r>
        <m:sSup>
          <m:e>
            <m:r>
              <w:rPr>
                <w:rFonts w:ascii="Cambria Math" w:hAnsi="Cambria Math"/>
              </w:rPr>
              <m:t xml:space="preserve">κ</m:t>
            </m:r>
          </m:e>
          <m:sup>
            <m:r>
              <w:rPr>
                <w:rFonts w:ascii="Cambria Math" w:hAnsi="Cambria Math"/>
              </w:rPr>
              <m:t xml:space="preserve">2</m:t>
            </m:r>
          </m:sup>
        </m:sSup>
        <m:r>
          <w:rPr>
            <w:rFonts w:ascii="Cambria Math" w:hAnsi="Cambria Math"/>
          </w:rPr>
          <m:t xml:space="preserve">d</m:t>
        </m:r>
        <m:r>
          <w:rPr>
            <w:rFonts w:ascii="Cambria Math" w:hAnsi="Cambria Math"/>
          </w:rPr>
          <m:t xml:space="preserve">s</m:t>
        </m:r>
        <m:r>
          <w:rPr>
            <w:rFonts w:ascii="Cambria Math" w:hAnsi="Cambria Math"/>
          </w:rPr>
          <m:t xml:space="preserve">.</m:t>
        </m:r>
      </m:oMath>
      <w:r>
        <w:rPr/>
        <w:tab/>
        <w:t>(3)</w:t>
      </w:r>
    </w:p>
    <w:p>
      <w:pPr>
        <w:pStyle w:val="Heading2"/>
        <w:keepNext w:val="true"/>
        <w:numPr>
          <w:ilvl w:val="0"/>
          <w:numId w:val="0"/>
        </w:numPr>
        <w:ind w:hanging="0" w:left="0"/>
        <w:rPr/>
      </w:pPr>
      <w:r>
        <w:rPr/>
        <w:t>C. Ràng buộc chuyển động và kiểm tra va chạm</w:t>
      </w:r>
    </w:p>
    <w:p>
      <w:pPr>
        <w:pStyle w:val="BodyText"/>
        <w:rPr/>
      </w:pPr>
      <w:r>
        <w:rPr/>
        <w:t>Mô hình hai bánh chủ động độc lập cho phép biểu diễn vận tốc thân xe theo vận tốc từng bánh [37]. Các đường Dubins [38], phân loại hình học đường ngắn nhất bị chặn độ cong [39] và đường Reeds–Shepp có tiến–lùi [40] thuộc những bài toán khác với chuyển động quay tại chỗ của robot vi sai. PSTMO không áp một bán kính quay dương chung cho mọi trạng thái: các giới hạn theo độ cong dưới đây áp cho phần tịnh tiến, còn thao tác quay được mô hình hóa riêng.</w:t>
      </w:r>
    </w:p>
    <w:p>
      <w:pPr>
        <w:pStyle w:val="BodyText"/>
        <w:rPr/>
      </w:pPr>
      <w:r>
        <w:rPr/>
        <w:t xml:space="preserve">Với khoảng cách hai bánh b, vận tốc tịnh tiến v và độ cong có dấu κ, vận tốc dài tại bánh trái và phải là </w:t>
      </w:r>
      <w:r>
        <w:rPr>
          <w:i/>
        </w:rPr>
        <w:t>v</w:t>
      </w:r>
      <w:r>
        <w:rPr>
          <w:vertAlign w:val="subscript"/>
        </w:rPr>
        <w:t>L</w:t>
      </w:r>
      <w:r>
        <w:rPr/>
        <w:t xml:space="preserve"> = v(1 − bκ/2) và </w:t>
      </w:r>
      <w:r>
        <w:rPr>
          <w:i/>
        </w:rPr>
        <w:t>v</w:t>
      </w:r>
      <w:r>
        <w:rPr>
          <w:vertAlign w:val="subscript"/>
        </w:rPr>
        <w:t>R</w:t>
      </w:r>
      <w:r>
        <w:rPr/>
        <w:t xml:space="preserve"> = v(1 + bκ/2). Chuyển tiếp tiến yêu cầu hai hệ số 1 ± bκ/2 không âm; quay tại chỗ được xét riêng. Công thức 4 kết hợp giới hạn vận tốc thân xe, vận tốc góc, gia tốc ngang và vận tốc bánh. Các lượt quét xuôi–ngược áp đặt tăng tốc, giảm tốc; vòng lặp tiếp tục hạ giới hạn vận tốc để thỏa gia tốc góc ước lượng giữa các mẫu. Hồ sơ không hội tụ bị loại. Tính khả thi theo mô hình này chưa xác định khả năng bám đường của bộ điều khiển.</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min</m:t>
        </m:r>
        <m:d>
          <m:dPr>
            <m:begChr m:val="("/>
            <m:endChr m:val=")"/>
          </m:dPr>
          <m:e>
            <m:sSub>
              <m:e>
                <m:r>
                  <w:rPr>
                    <w:rFonts w:ascii="Cambria Math" w:hAnsi="Cambria Math"/>
                  </w:rPr>
                  <m:t xml:space="preserve">v</m:t>
                </m:r>
              </m:e>
              <m:sub>
                <m:r>
                  <w:rPr>
                    <w:rFonts w:ascii="Cambria Math" w:hAnsi="Cambria Math"/>
                  </w:rPr>
                  <m:t xml:space="preserve">max</m:t>
                </m:r>
              </m:sub>
            </m:sSub>
            <m:r>
              <w:rPr>
                <w:rFonts w:ascii="Cambria Math" w:hAnsi="Cambria Math"/>
              </w:rPr>
              <m:t xml:space="preserve">,</m:t>
            </m:r>
            <m:f>
              <m:num>
                <m:sSub>
                  <m:e>
                    <m:r>
                      <w:rPr>
                        <w:rFonts w:ascii="Cambria Math" w:hAnsi="Cambria Math"/>
                      </w:rPr>
                      <m:t xml:space="preserve">ω</m:t>
                    </m:r>
                  </m:e>
                  <m:sub>
                    <m:r>
                      <w:rPr>
                        <w:rFonts w:ascii="Cambria Math" w:hAnsi="Cambria Math"/>
                      </w:rPr>
                      <m:t xml:space="preserve">max</m:t>
                    </m:r>
                  </m:sub>
                </m:sSub>
              </m:num>
              <m:den>
                <m:d>
                  <m:dPr>
                    <m:begChr m:val="|"/>
                    <m:endChr m:val="|"/>
                  </m:dPr>
                  <m:e>
                    <m:r>
                      <w:rPr>
                        <w:rFonts w:ascii="Cambria Math" w:hAnsi="Cambria Math"/>
                      </w:rPr>
                      <m:t xml:space="preserve">κ</m:t>
                    </m:r>
                  </m:e>
                </m:d>
              </m:den>
            </m:f>
            <m:r>
              <w:rPr>
                <w:rFonts w:ascii="Cambria Math" w:hAnsi="Cambria Math"/>
              </w:rPr>
              <m:t xml:space="preserve">,</m:t>
            </m:r>
            <m:rad>
              <m:radPr>
                <m:degHide m:val="1"/>
              </m:radPr>
              <m:deg/>
              <m:e>
                <m:f>
                  <m:num>
                    <m:sSub>
                      <m:e>
                        <m:r>
                          <w:rPr>
                            <w:rFonts w:ascii="Cambria Math" w:hAnsi="Cambria Math"/>
                          </w:rPr>
                          <m:t xml:space="preserve">a</m:t>
                        </m:r>
                      </m:e>
                      <m:sub>
                        <m:r>
                          <w:rPr>
                            <w:rFonts w:ascii="Cambria Math" w:hAnsi="Cambria Math"/>
                          </w:rPr>
                          <m:t xml:space="preserve">l</m:t>
                        </m:r>
                        <m:r>
                          <w:rPr>
                            <w:rFonts w:ascii="Cambria Math" w:hAnsi="Cambria Math"/>
                          </w:rPr>
                          <m:t xml:space="preserve">a</m:t>
                        </m:r>
                        <m:r>
                          <w:rPr>
                            <w:rFonts w:ascii="Cambria Math" w:hAnsi="Cambria Math"/>
                          </w:rPr>
                          <m:t xml:space="preserve">t</m:t>
                        </m:r>
                        <m:r>
                          <w:rPr>
                            <w:rFonts w:ascii="Cambria Math" w:hAnsi="Cambria Math"/>
                          </w:rPr>
                          <m:t xml:space="preserve">,</m:t>
                        </m:r>
                        <m:r>
                          <w:rPr>
                            <w:rFonts w:ascii="Cambria Math" w:hAnsi="Cambria Math"/>
                          </w:rPr>
                          <m:t xml:space="preserve">max</m:t>
                        </m:r>
                      </m:sub>
                    </m:sSub>
                  </m:num>
                  <m:den>
                    <m:d>
                      <m:dPr>
                        <m:begChr m:val="|"/>
                        <m:endChr m:val="|"/>
                      </m:dPr>
                      <m:e>
                        <m:r>
                          <w:rPr>
                            <w:rFonts w:ascii="Cambria Math" w:hAnsi="Cambria Math"/>
                          </w:rPr>
                          <m:t xml:space="preserve">κ</m:t>
                        </m:r>
                      </m:e>
                    </m:d>
                  </m:den>
                </m:f>
              </m:e>
            </m:rad>
            <m:r>
              <w:rPr>
                <w:rFonts w:ascii="Cambria Math" w:hAnsi="Cambria Math"/>
              </w:rPr>
              <m:t xml:space="preserve">,</m:t>
            </m:r>
            <m:f>
              <m:num>
                <m:sSub>
                  <m:e>
                    <m:r>
                      <w:rPr>
                        <w:rFonts w:ascii="Cambria Math" w:hAnsi="Cambria Math"/>
                      </w:rPr>
                      <m:t xml:space="preserve">v</m:t>
                    </m:r>
                  </m:e>
                  <m:sub>
                    <m:r>
                      <w:rPr>
                        <w:rFonts w:ascii="Cambria Math" w:hAnsi="Cambria Math"/>
                      </w:rPr>
                      <m:t xml:space="preserve">w</m:t>
                    </m:r>
                    <m:r>
                      <w:rPr>
                        <w:rFonts w:ascii="Cambria Math" w:hAnsi="Cambria Math"/>
                      </w:rPr>
                      <m:t xml:space="preserve">h</m:t>
                    </m:r>
                    <m:r>
                      <w:rPr>
                        <w:rFonts w:ascii="Cambria Math" w:hAnsi="Cambria Math"/>
                      </w:rPr>
                      <m:t xml:space="preserve">e</m:t>
                    </m:r>
                    <m:r>
                      <w:rPr>
                        <w:rFonts w:ascii="Cambria Math" w:hAnsi="Cambria Math"/>
                      </w:rPr>
                      <m:t xml:space="preserve">e</m:t>
                    </m:r>
                    <m:r>
                      <w:rPr>
                        <w:rFonts w:ascii="Cambria Math" w:hAnsi="Cambria Math"/>
                      </w:rPr>
                      <m:t xml:space="preserve">l</m:t>
                    </m:r>
                    <m:r>
                      <w:rPr>
                        <w:rFonts w:ascii="Cambria Math" w:hAnsi="Cambria Math"/>
                      </w:rPr>
                      <m:t xml:space="preserve">,</m:t>
                    </m:r>
                    <m:r>
                      <w:rPr>
                        <w:rFonts w:ascii="Cambria Math" w:hAnsi="Cambria Math"/>
                      </w:rPr>
                      <m:t xml:space="preserve">max</m:t>
                    </m:r>
                  </m:sub>
                </m:sSub>
              </m:num>
              <m:den>
                <m:sSub>
                  <m:e>
                    <m:r>
                      <w:rPr>
                        <w:rFonts w:ascii="Cambria Math" w:hAnsi="Cambria Math"/>
                      </w:rPr>
                      <m:t xml:space="preserve">f</m:t>
                    </m:r>
                  </m:e>
                  <m:sub>
                    <m:r>
                      <w:rPr>
                        <w:rFonts w:ascii="Cambria Math" w:hAnsi="Cambria Math"/>
                      </w:rPr>
                      <m:t xml:space="preserve">max</m:t>
                    </m:r>
                  </m:sub>
                </m:sSub>
              </m:den>
            </m:f>
          </m:e>
        </m:d>
        <m:r>
          <w:rPr>
            <w:rFonts w:ascii="Cambria Math" w:hAnsi="Cambria Math"/>
          </w:rPr>
          <m:t xml:space="preserve">,</m:t>
        </m:r>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sSub>
          <m:e>
            <m:r>
              <w:rPr>
                <w:rFonts w:ascii="Cambria Math" w:hAnsi="Cambria Math"/>
              </w:rPr>
              <m:t xml:space="preserve">f</m:t>
            </m:r>
          </m:e>
          <m:sub>
            <m:r>
              <w:rPr>
                <w:rFonts w:ascii="Cambria Math" w:hAnsi="Cambria Math"/>
              </w:rPr>
              <m:t xml:space="preserve">max</m:t>
            </m:r>
          </m:sub>
        </m:sSub>
        <m:r>
          <w:rPr>
            <w:rFonts w:ascii="Cambria Math" w:hAnsi="Cambria Math"/>
          </w:rPr>
          <m:t xml:space="preserve">=</m:t>
        </m:r>
        <m:r>
          <w:rPr>
            <w:rFonts w:ascii="Cambria Math" w:hAnsi="Cambria Math"/>
          </w:rPr>
          <m:t xml:space="preserve">max</m:t>
        </m:r>
        <m:d>
          <m:dPr>
            <m:begChr m:val="("/>
            <m:endChr m:val=")"/>
          </m:dPr>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r>
                      <w:rPr>
                        <w:rFonts w:ascii="Cambria Math" w:hAnsi="Cambria Math"/>
                      </w:rPr>
                      <m:t xml:space="preserve">κ</m:t>
                    </m:r>
                  </m:num>
                  <m:den>
                    <m:r>
                      <w:rPr>
                        <w:rFonts w:ascii="Cambria Math" w:hAnsi="Cambria Math"/>
                      </w:rPr>
                      <m:t xml:space="preserve">2</m:t>
                    </m:r>
                  </m:den>
                </m:f>
              </m:e>
            </m:d>
          </m:e>
        </m:d>
        <m:r>
          <w:rPr>
            <w:rFonts w:ascii="Cambria Math" w:hAnsi="Cambria Math"/>
          </w:rPr>
          <m:t xml:space="preserve">.</m:t>
        </m:r>
      </m:oMath>
      <w:r>
        <w:rPr/>
        <w:tab/>
        <w:t>(4)</w:t>
      </w:r>
    </w:p>
    <w:p>
      <w:pPr>
        <w:pStyle w:val="BodyText"/>
        <w:rPr/>
      </w:pPr>
      <w:r>
        <w:rPr/>
        <w:t>Tại đoạn thẳng, các hạng chia cho |κ| trong công thức 4 không tạo thêm giới hạn hữu hạn. Chi phí tại tâm phải qua ngưỡng cấu hình; vùng hình bao đã định hướng phải không chứa ô vật cản gây va chạm hoặc ô chưa biết. Ngưỡng chi phí mở rộng quanh vật cản được áp tại tâm, không áp thêm cùng ngưỡng lên toàn đường bao. Kiểm tra chuyển tiếp nội suy cả vị trí và hướng giữa các mẫu; quay tại chỗ được lấy mẫu theo góc. Đây vẫn là kiểm tra hình bao tại các tư thế rời rạc, phụ thuộc độ phân giải và khoảng lấy mẫu, chưa bảo đảm an toàn liên tục.</w:t>
      </w:r>
    </w:p>
    <w:p>
      <w:pPr>
        <w:pStyle w:val="Heading2"/>
        <w:keepNext w:val="true"/>
        <w:numPr>
          <w:ilvl w:val="0"/>
          <w:numId w:val="0"/>
        </w:numPr>
        <w:ind w:hanging="0" w:left="0"/>
        <w:rPr/>
      </w:pPr>
      <w:r>
        <w:rPr/>
        <w:t>D. Xây dựng và lựa chọn phương án chuyển động tại góc</w:t>
      </w:r>
    </w:p>
    <w:p>
      <w:pPr>
        <w:pStyle w:val="BodyText"/>
        <w:rPr/>
      </w:pPr>
      <w:r>
        <w:rPr/>
        <w:t>Sau tiền xử lý, độ đổi hướng được xác định từ hai vectơ cạnh kề. Đỉnh có độ đổi hướng nhỏ hơn 5° được giữ làm điểm đi qua, không tạo dấu quay tại chỗ. Với các góc còn lại, hai dạng chuyển động được xét là chuyển tiếp tiến và dừng để quay tại chỗ. Bộ sinh Bézier chỉ nhận góc nhỏ hơn 170°; ngoài miền này, thuật toán chỉ còn phương án quay tại chỗ nếu khả thi.</w:t>
      </w:r>
    </w:p>
    <w:p>
      <w:pPr>
        <w:pStyle w:val="BodyText"/>
        <w:rPr/>
      </w:pPr>
      <w:r>
        <w:rPr/>
        <w:t xml:space="preserve">PSTMO xét tối đa hai chiều dài cắt tại mỗi góc. Chiều dài ưu tiên là giá trị nhỏ nhất của hai cạnh kề và </w:t>
      </w:r>
      <w:r>
        <w:rPr>
          <w:i/>
        </w:rPr>
        <w:t>d</w:t>
      </w:r>
      <w:r>
        <w:rPr>
          <w:vertAlign w:val="subscript"/>
        </w:rPr>
        <w:t>max</w:t>
      </w:r>
      <w:r>
        <w:rPr/>
        <w:t xml:space="preserve">. Chiều dài tương thích được chặn thêm bởi phần dành cho mỗi đầu của từng cạnh chung, bằng max(0, L − m)/2; cạnh nối trực tiếp điểm đầu hoặc đích được dùng toàn chiều dài. Thuật toán bỏ giá trị dưới </w:t>
      </w:r>
      <w:r>
        <w:rPr>
          <w:i/>
        </w:rPr>
        <w:t>d</w:t>
      </w:r>
      <w:r>
        <w:rPr>
          <w:vertAlign w:val="subscript"/>
        </w:rPr>
        <w:t>min</w:t>
      </w:r>
      <w:r>
        <w:rPr/>
        <w:t xml:space="preserve"> hoặc trùng chiều dài ưu tiên trong độ phân giải tìm kiếm. Cách tạo này dành chiều dài cho cả góc trước và góc sau.</w:t>
      </w:r>
    </w:p>
    <w:p>
      <w:pPr>
        <w:pStyle w:val="BodyText"/>
        <w:rPr/>
      </w:pPr>
      <w:r>
        <w:rPr/>
        <w:t xml:space="preserve">Với mỗi chiều dài cắt, thuật toán xét α = {0,1; 0,2; 0,3; 0,4; 0,5}; nếu chưa có hình dạng khả thi thì xét thêm {0,15; 0,25; 0,35; 0,45}. Quanh giá trị có </w:t>
      </w:r>
      <w:r>
        <w:rPr>
          <w:i/>
        </w:rPr>
        <w:t>E</w:t>
      </w:r>
      <w:r>
        <w:rPr>
          <w:vertAlign w:val="subscript"/>
        </w:rPr>
        <w:t>κ</w:t>
      </w:r>
      <w:r>
        <w:rPr/>
        <w:t xml:space="preserve"> nhỏ nhất, khoảng tinh chỉnh nối hai mốc thô kề hoặc là ô thô chứa giá trị bổ sung; tại biên miền chỉ dùng khoảng một phía. Khoảng này được chia thành mười phần bằng nhau và bỏ mẫu trùng. Mỗi giá trị phải qua kiểm tra hình học, hình bao và tham số hóa thời gian. Sau tinh chỉnh, chỉ giữ một hình dạng có </w:t>
      </w:r>
      <w:r>
        <w:rPr>
          <w:i/>
        </w:rPr>
        <w:t>E</w:t>
      </w:r>
      <w:r>
        <w:rPr>
          <w:vertAlign w:val="subscript"/>
        </w:rPr>
        <w:t>κ</w:t>
      </w:r>
      <w:r>
        <w:rPr/>
        <w:t xml:space="preserve"> nhỏ nhất cho mỗi chiều dài cắt; khi bằng nhau trong dung sai, ưu tiên α nhỏ hơn. Hàm chi phí tổng hợp ở bước sau không được tối ưu trực tiếp trên toàn miền α.</w:t>
      </w:r>
    </w:p>
    <w:p>
      <w:pPr>
        <w:pStyle w:val="BodyText"/>
        <w:rPr/>
      </w:pPr>
      <w:r>
        <w:rPr/>
        <w:t xml:space="preserve">Các chuyển tiếp sau tìm hình dạng được bổ sung đoạn thẳng để cùng bắt đầu và kết thúc trên cửa sổ có chiều dài cắt lớn nhất. Vận tốc biên chung được hạ lặp đến trạng thái có thể đạt, rồi tính lại hồ sơ; phương án không đáp ứng trạng thái biên bị loại. </w:t>
      </w:r>
      <w:r>
        <w:rPr>
          <w:i/>
        </w:rPr>
        <w:t>T</w:t>
      </w:r>
      <w:r>
        <w:rPr>
          <w:vertAlign w:val="subscript"/>
        </w:rPr>
        <w:t>min</w:t>
      </w:r>
      <w:r>
        <w:rPr/>
        <w:t xml:space="preserve"> là thời gian dự đoán nhỏ nhất trong tập còn lại. </w:t>
      </w:r>
      <w:r>
        <w:rPr>
          <w:i/>
        </w:rPr>
        <w:t>T</w:t>
      </w:r>
      <w:r>
        <w:rPr>
          <w:vertAlign w:val="subscript"/>
        </w:rPr>
        <w:t>p</w:t>
      </w:r>
      <w:r>
        <w:rPr/>
        <w:t xml:space="preserve"> gồm thời gian tiến đến đỉnh, dừng–quay và rời đỉnh trên cùng cửa sổ với cùng vận tốc biên. Khi quay tại chỗ khả thi, nhánh chuyển tiếp chỉ mở nếu đạt mức giảm tối thiểu </w:t>
      </w:r>
      <w:r>
        <w:rPr>
          <w:i/>
        </w:rPr>
        <w:t>δ</w:t>
      </w:r>
      <w:r>
        <w:rPr>
          <w:vertAlign w:val="subscript"/>
        </w:rPr>
        <w:t>T</w:t>
      </w:r>
      <w:r>
        <w:rPr/>
        <w:t xml:space="preserve"> trong công thức 5.</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T</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&lt;</m:t>
        </m:r>
        <m:sSub>
          <m:e>
            <m:r>
              <w:rPr>
                <w:rFonts w:ascii="Cambria Math" w:hAnsi="Cambria Math"/>
              </w:rPr>
              <m:t xml:space="preserve">T</m:t>
            </m:r>
          </m:e>
          <m:sub>
            <m:r>
              <w:rPr>
                <w:rFonts w:ascii="Cambria Math" w:hAnsi="Cambria Math"/>
              </w:rPr>
              <m:t xml:space="preserve">p</m:t>
            </m:r>
          </m:sub>
        </m:sSub>
        <m:r>
          <w:rPr>
            <w:rFonts w:ascii="Cambria Math" w:hAnsi="Cambria Math"/>
          </w:rPr>
          <m:t xml:space="preserve">.</m:t>
        </m:r>
      </m:oMath>
      <w:r>
        <w:rPr/>
        <w:tab/>
        <w:t>(5)</w:t>
      </w:r>
    </w:p>
    <w:p>
      <w:pPr>
        <w:pStyle w:val="BodyText"/>
        <w:rPr/>
      </w:pPr>
      <w:r>
        <w:rPr/>
        <w:t xml:space="preserve">Trong nhánh này, thời gian của chuyển tiếp được giữ không vượt </w:t>
      </w:r>
      <w:r>
        <w:rPr>
          <w:i/>
        </w:rPr>
        <w:t>T</w:t>
      </w:r>
      <w:r>
        <w:rPr>
          <w:vertAlign w:val="subscript"/>
        </w:rPr>
        <w:t>min</w:t>
      </w:r>
      <w:r>
        <w:rPr/>
        <w:t xml:space="preserve"> cộng khoảng thời gian cho phép đã cấu hình và không lớn hơn </w:t>
      </w:r>
      <w:r>
        <w:rPr>
          <w:i/>
        </w:rPr>
        <w:t>T</w:t>
      </w:r>
      <w:r>
        <w:rPr>
          <w:vertAlign w:val="subscript"/>
        </w:rPr>
        <w:t>p</w:t>
      </w:r>
      <w:r>
        <w:rPr/>
        <w:t xml:space="preserve"> − </w:t>
      </w:r>
      <w:r>
        <w:rPr>
          <w:i/>
        </w:rPr>
        <w:t>δ</w:t>
      </w:r>
      <w:r>
        <w:rPr>
          <w:vertAlign w:val="subscript"/>
        </w:rPr>
        <w:t>T</w:t>
      </w:r>
      <w:r>
        <w:rPr/>
        <w:t xml:space="preserve">, bỏ qua dung sai số học. Nếu quay tại chỗ không khả thi, chỉ áp dụng giới hạn so với </w:t>
      </w:r>
      <w:r>
        <w:rPr>
          <w:i/>
        </w:rPr>
        <w:t>T</w:t>
      </w:r>
      <w:r>
        <w:rPr>
          <w:vertAlign w:val="subscript"/>
        </w:rPr>
        <w:t>min</w:t>
      </w:r>
      <w:r>
        <w:rPr/>
        <w:t>.</w:t>
      </w:r>
    </w:p>
    <w:p>
      <w:pPr>
        <w:pStyle w:val="BodyText"/>
        <w:rPr/>
      </w:pPr>
      <w:r>
        <w:rPr/>
        <w:t xml:space="preserve">Hàm chi phí trong công thức 6 cung cấp chi phí cục bộ cho bước chọn chuỗi. Gọi </w:t>
      </w:r>
      <w:r>
        <w:rPr>
          <w:i/>
        </w:rPr>
        <w:t>c</w:t>
      </w:r>
      <w:r>
        <w:rPr>
          <w:vertAlign w:val="subscript"/>
        </w:rPr>
        <w:t>max</w:t>
      </w:r>
      <w:r>
        <w:rPr/>
        <w:t xml:space="preserve"> là cực đại, trên các tư thế kiểm tra chuyển tiếp, của giá trị lớn hơn giữa chi phí tại tâm và chi phí trên đường bao; đây là chỉ số chi phí bản đồ, không phải khoảng hở đo bằng mét. </w:t>
      </w:r>
      <w:r>
        <w:rPr>
          <w:i/>
        </w:rPr>
        <w:t>ω</w:t>
      </w:r>
      <w:r>
        <w:rPr>
          <w:vertAlign w:val="subscript"/>
        </w:rPr>
        <w:t>peak</w:t>
      </w:r>
      <w:r>
        <w:rPr/>
        <w:t xml:space="preserve"> là trị tuyệt đối vận tốc góc lớn nhất của hồ sơ dự đoán trên cửa sổ chung. Các thành phần không thứ nguyên là </w:t>
      </w:r>
      <w:r>
        <w:rPr>
          <w:i/>
        </w:rPr>
        <w:t>ρ</w:t>
      </w:r>
      <w:r>
        <w:rPr>
          <w:vertAlign w:val="subscript"/>
        </w:rPr>
        <w:t>c</w:t>
      </w:r>
      <w:r>
        <w:rPr/>
        <w:t xml:space="preserve"> = min(1, </w:t>
      </w:r>
      <w:r>
        <w:rPr>
          <w:i/>
        </w:rPr>
        <w:t>c</w:t>
      </w:r>
      <w:r>
        <w:rPr>
          <w:vertAlign w:val="subscript"/>
        </w:rPr>
        <w:t>max</w:t>
      </w:r>
      <w:r>
        <w:rPr/>
        <w:t xml:space="preserve">/252), </w:t>
      </w:r>
      <w:r>
        <w:rPr>
          <w:i/>
        </w:rPr>
        <w:t>ρ</w:t>
      </w:r>
      <w:r>
        <w:rPr>
          <w:vertAlign w:val="subscript"/>
        </w:rPr>
        <w:t>ω</w:t>
      </w:r>
      <w:r>
        <w:rPr/>
        <w:t xml:space="preserve"> = min(1, </w:t>
      </w:r>
      <w:r>
        <w:rPr>
          <w:i/>
        </w:rPr>
        <w:t>ω</w:t>
      </w:r>
      <w:r>
        <w:rPr>
          <w:vertAlign w:val="subscript"/>
        </w:rPr>
        <w:t>peak</w:t>
      </w:r>
      <w:r>
        <w:rPr/>
        <w:t>/</w:t>
      </w:r>
      <w:r>
        <w:rPr>
          <w:i/>
        </w:rPr>
        <w:t>ω</w:t>
      </w:r>
      <w:r>
        <w:rPr>
          <w:vertAlign w:val="subscript"/>
        </w:rPr>
        <w:t>max</w:t>
      </w:r>
      <w:r>
        <w:rPr/>
        <w:t xml:space="preserve">) và </w:t>
      </w:r>
      <w:r>
        <w:rPr>
          <w:i/>
        </w:rPr>
        <w:t>ρ</w:t>
      </w:r>
      <w:r>
        <w:rPr>
          <w:vertAlign w:val="subscript"/>
        </w:rPr>
        <w:t>E</w:t>
      </w:r>
      <w:r>
        <w:rPr/>
        <w:t xml:space="preserve"> = </w:t>
      </w:r>
      <w:r>
        <w:rPr>
          <w:i/>
        </w:rPr>
        <w:t>E</w:t>
      </w:r>
      <w:r>
        <w:rPr>
          <w:vertAlign w:val="subscript"/>
        </w:rPr>
        <w:t>κ</w:t>
      </w:r>
      <w:r>
        <w:rPr/>
        <w:t>/(</w:t>
      </w:r>
      <w:r>
        <w:rPr>
          <w:i/>
        </w:rPr>
        <w:t>E</w:t>
      </w:r>
      <w:r>
        <w:rPr>
          <w:vertAlign w:val="subscript"/>
        </w:rPr>
        <w:t>κ</w:t>
      </w:r>
      <w:r>
        <w:rPr/>
        <w:t xml:space="preserve"> + </w:t>
      </w:r>
      <w:r>
        <w:rPr>
          <w:i/>
        </w:rPr>
        <w:t>E</w:t>
      </w:r>
      <w:r>
        <w:rPr>
          <w:vertAlign w:val="subscript"/>
        </w:rPr>
        <w:t>scale</w:t>
      </w:r>
      <w:r>
        <w:rPr/>
        <w:t xml:space="preserve">), với </w:t>
      </w:r>
      <w:r>
        <w:rPr>
          <w:i/>
        </w:rPr>
        <w:t>E</w:t>
      </w:r>
      <w:r>
        <w:rPr>
          <w:vertAlign w:val="subscript"/>
        </w:rPr>
        <w:t>scale</w:t>
      </w:r>
      <w:r>
        <w:rPr/>
        <w:t xml:space="preserve"> = 1 m⁻¹. Ba trọng số có tổng bằng một và là cấu hình dùng trong nghiên cứu; chưa có bằng chứng xác lập bộ trọng số tối ưu.</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0.15</m:t>
        </m:r>
        <m:sSub>
          <m:e>
            <m:r>
              <w:rPr>
                <w:rFonts w:ascii="Cambria Math" w:hAnsi="Cambria Math"/>
              </w:rPr>
              <m:t xml:space="preserve">ρ</m:t>
            </m:r>
          </m:e>
          <m:sub>
            <m:r>
              <w:rPr>
                <w:rFonts w:ascii="Cambria Math" w:hAnsi="Cambria Math"/>
              </w:rPr>
              <m:t xml:space="preserve">c</m:t>
            </m:r>
          </m:sub>
        </m:sSub>
        <m:r>
          <w:rPr>
            <w:rFonts w:ascii="Cambria Math" w:hAnsi="Cambria Math"/>
          </w:rPr>
          <m:t xml:space="preserve">+</m:t>
        </m:r>
        <m:r>
          <w:rPr>
            <w:rFonts w:ascii="Cambria Math" w:hAnsi="Cambria Math"/>
          </w:rPr>
          <m:t xml:space="preserve">0.10</m:t>
        </m:r>
        <m:sSub>
          <m:e>
            <m:r>
              <w:rPr>
                <w:rFonts w:ascii="Cambria Math" w:hAnsi="Cambria Math"/>
              </w:rPr>
              <m:t xml:space="preserve">ρ</m:t>
            </m:r>
          </m:e>
          <m:sub>
            <m:r>
              <w:rPr>
                <w:rFonts w:ascii="Cambria Math" w:hAnsi="Cambria Math"/>
              </w:rPr>
              <m:t xml:space="preserve">ω</m:t>
            </m:r>
          </m:sub>
        </m:sSub>
        <m:r>
          <w:rPr>
            <w:rFonts w:ascii="Cambria Math" w:hAnsi="Cambria Math"/>
          </w:rPr>
          <m:t xml:space="preserve">+</m:t>
        </m:r>
        <m:r>
          <w:rPr>
            <w:rFonts w:ascii="Cambria Math" w:hAnsi="Cambria Math"/>
          </w:rPr>
          <m:t xml:space="preserve">0.75</m:t>
        </m:r>
        <m:sSub>
          <m:e>
            <m:r>
              <w:rPr>
                <w:rFonts w:ascii="Cambria Math" w:hAnsi="Cambria Math"/>
              </w:rPr>
              <m:t xml:space="preserve">ρ</m:t>
            </m:r>
          </m:e>
          <m:sub>
            <m:r>
              <w:rPr>
                <w:rFonts w:ascii="Cambria Math" w:hAnsi="Cambria Math"/>
              </w:rPr>
              <m:t xml:space="preserve">E</m:t>
            </m:r>
          </m:sub>
        </m:sSub>
        <m:r>
          <w:rPr>
            <w:rFonts w:ascii="Cambria Math" w:hAnsi="Cambria Math"/>
          </w:rPr>
          <m:t xml:space="preserve">.</m:t>
        </m:r>
      </m:oMath>
      <w:r>
        <w:rPr/>
        <w:tab/>
        <w:t>(6)</w:t>
      </w:r>
    </w:p>
    <w:p>
      <w:pPr>
        <w:pStyle w:val="BodyText"/>
        <w:rPr/>
      </w:pPr>
      <w:r>
        <w:rPr/>
        <w:t xml:space="preserve">Điều kiện thời gian và khoảng cho phép lọc tập phương án trước khi so sánh chi phí, nên thời gian không phải một hạng bù trừ trong J. Phương án quay tại chỗ khả thi nhận chi phí quy ước 1 khi nhánh chuyển tiếp mở, và 0 khi nhánh đóng; không áp </w:t>
      </w:r>
      <w:r>
        <w:rPr>
          <w:i/>
        </w:rPr>
        <w:t>E</w:t>
      </w:r>
      <w:r>
        <w:rPr>
          <w:vertAlign w:val="subscript"/>
        </w:rPr>
        <w:t>κ</w:t>
      </w:r>
      <w:r>
        <w:rPr/>
        <w:t xml:space="preserve"> cho thao tác quay. Các chuyển tiếp qua bộ lọc và phương án quay khả thi được đưa vào quy hoạch động. Vì phải bảo đảm tương thích giữa các góc, một góc vẫn có thể được chọn quay tại chỗ dù có chuyển tiếp khả thi cục bộ.</w:t>
      </w:r>
    </w:p>
    <w:p>
      <w:pPr>
        <w:pStyle w:val="BodyText"/>
        <w:rPr/>
      </w:pPr>
      <w:r>
        <w:t xml:space="preserve">Như vậy, ba tiêu chí được sử dụng ở những cấp khác nhau: </w:t>
      </w:r>
      <w:r>
        <w:rPr>
          <w:i/>
        </w:rPr>
        <w:t xml:space="preserve">E</w:t>
      </w:r>
      <w:r>
        <w:rPr>
          <w:i/>
          <w:vertAlign w:val="subscript"/>
        </w:rPr>
        <w:t xml:space="preserve">κ</w:t>
      </w:r>
      <w:r>
        <w:t xml:space="preserve"> chọn hình dạng cho từng chiều dài cắt; thời gian dự đoán xác định tập chuyển tiếp được giữ; J cung cấp chi phí cho lựa chọn chuỗi. Trong triển khai, J được tính khi đánh giá ứng viên trên cửa sổ chung, nhưng chỉ ứng viên qua bộ lọc mới tham gia so sánh ở bước lựa chọn chuỗi. DP không quay lại tìm các giá trị α đã bị loại và không tối ưu trực tiếp tổng thời gian chuyển động.</w:t>
      </w:r>
    </w:p>
    <w:p>
      <w:pPr>
        <w:pStyle w:val="Heading2"/>
        <w:keepNext w:val="true"/>
        <w:numPr>
          <w:ilvl w:val="0"/>
          <w:numId w:val="0"/>
        </w:numPr>
        <w:ind w:hanging="0" w:left="0"/>
        <w:rPr/>
      </w:pPr>
      <w:r>
        <w:rPr/>
        <w:t>E. Lựa chọn chuỗi chuyển tiếp và tạo đường tham chiếu</w:t>
      </w:r>
    </w:p>
    <w:p>
      <w:pPr>
        <w:pStyle w:val="BodyText"/>
        <w:rPr/>
      </w:pPr>
      <w:r>
        <w:rPr/>
        <w:t>Bài toán lựa chọn dùng nguyên lý tối ưu theo giai đoạn của quy hoạch động [41]. Sau khi tập ứng viên đã cố định, ảnh hưởng của lựa chọn tại một góc đến góc kế tiếp được biểu diễn bằng chiều dài chiếm dụng trên cạnh chung. Điều này cho phép lưu chi phí tốt nhất đến mỗi trạng thái thay vì liệt kê mọi chuỗi tổ hợp. Phát biểu tối ưu chỉ có ý nghĩa với chi phí cộng và quan hệ tương thích đã định nghĩa, không bao gồm sai số điều khiển phát sinh khi thực thi.</w:t>
      </w:r>
    </w:p>
    <w:p>
      <w:pPr>
        <w:pStyle w:val="BodyText"/>
        <w:rPr/>
      </w:pPr>
      <w:r>
        <w:rPr/>
        <w:t>Gọi Sᵢ là tập phương án khả thi được giữ tại góc i; mỗi phương án là một trạng thái của quy hoạch động. Chuyển tiếp dùng chiều dài cắt dᵢ, còn quay tại chỗ dùng chiều dài cắt bằng không. Chọn riêng phương án có J nhỏ nhất ở từng góc có thể làm các chuyển tiếp chồng lấn trên cạnh chung. Quy hoạch động chỉ nối các trạng thái tương thích và tối thiểu hóa tổng chi phí cục bộ. Công thức 7 xác định Fᵢ(k), tổng chi phí nhỏ nhất đến phương án k tại góc i; khởi tạo F₁(k) = J₁(k). Trạng thái không có tiền nhiệm đạt tới được nhận chi phí vô cùng. Truy vết từ trạng thái có chi phí nhỏ nhất ở góc cuối xác định chuỗi được chọn.</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J</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min</m:t>
            </m:r>
          </m:e>
          <m:sub>
            <m:r>
              <w:rPr>
                <w:rFonts w:ascii="Cambria Math" w:hAnsi="Cambria Math"/>
              </w:rPr>
              <m:t xml:space="preserve">j</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sub>
        </m:sSub>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oMath>
      <w:r>
        <w:rPr/>
        <w:tab/>
        <w:t>(7)</w:t>
      </w:r>
    </w:p>
    <w:p>
      <w:pPr>
        <w:pStyle w:val="BodyText"/>
        <w:rPr/>
      </w:pPr>
      <w:r>
        <w:rP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rPr/>
      </w:pPr>
      <w:r>
        <w:t xml:space="preserve">Trạng thái tại một góc xác định phương án và chiều dài cắt, không chứa biến vận tốc dọc toàn đường. Khi trạng thái cuối của một chuỗi tiền tố đã cố định, các lựa chọn tương thích ở góc kế tiếp phụ thuộc trạng thái đó qua cạnh chung; do chi phí cộng, chỉ cần giữ tiền tố có chi phí thấp nhất cho mỗi trạng thái. Đây là cơ sở của truy hồi (7), đồng thời xác định giới hạn của tính tối ưu. Các đỉnh đi qua dưới ngưỡng 5° tham gia chuỗi như trạng thái cố định có chiều dài cắt và chi phí bằng không; chúng không tạo thao tác quay tại chỗ vật lý.</w:t>
      </w:r>
    </w:p>
    <w:p>
      <w:pPr>
        <w:pStyle w:val="BodyText"/>
        <w:rPr/>
      </w:pPr>
      <w:r>
        <w:rPr/>
        <w:t>Sau khi truy vết, các đoạn thẳng, chuyển tiếp và tư thế quay tại chỗ được ghép theo thứ tự đường đi. PSTMO kiểm tra vị trí đầu–cuối, giới hạn chuyển động, đường bao tại các mối nối và hướng cuối. Thuật toán từ chối đường nếu thiếu phương án khả thi, không có chuỗi tương thích hoặc đầu ra không vượt qua toàn bộ kiểm tra.</w:t>
      </w:r>
    </w:p>
    <w:p>
      <w:pPr>
        <w:pStyle w:val="BodyText"/>
        <w:rPr/>
      </w:pPr>
      <w:r>
        <w:rPr/>
        <w:t>Hai chiều dài cắt và phép tìm kiếm phân cấp giới hạn số đường cong được đánh giá nhưng có thể bỏ sót hình dạng khả thi hoặc có chi phí thấp hơn. Tối ưu trên đồ thị không phải tối ưu toàn cục trên mọi đường liên tục hay thời gian thực thi. Tính G² thuộc các mối nối Bézier–đoạn thẳng đã xây dựng; chuỗi tư thế rời rạc, các điểm đi qua dưới ngưỡng và thao tác quay không tạo thành bảo đảm G² cho toàn bộ đầu ra. Phần III đánh giá riêng chuyển động dưới bộ điều khiển.</w:t>
      </w:r>
    </w:p>
    <w:p>
      <w:pPr>
        <w:pStyle w:val="Heading1"/>
        <w:keepNext w:val="true"/>
        <w:numPr>
          <w:ilvl w:val="0"/>
          <w:numId w:val="0"/>
        </w:numPr>
        <w:ind w:hanging="0" w:left="0"/>
        <w:rPr/>
      </w:pPr>
      <w:r>
        <w:rPr/>
        <w:t>III. XÂY DỰNG KỊCH BẢN THỬ NGHIỆM VÀ PHÂN TÍCH</w:t>
      </w:r>
    </w:p>
    <w:p>
      <w:pPr>
        <w:pStyle w:val="Heading2"/>
        <w:keepNext w:val="true"/>
        <w:numPr>
          <w:ilvl w:val="0"/>
          <w:numId w:val="0"/>
        </w:numPr>
        <w:ind w:hanging="0" w:left="0"/>
        <w:rPr/>
      </w:pPr>
      <w:r>
        <w:rPr/>
        <w:t>A. Môi trường mô phỏng và thiết kế đánh giá</w:t>
      </w:r>
    </w:p>
    <w:p>
      <w:pPr>
        <w:pStyle w:val="Heading3"/>
        <w:keepNext w:val="true"/>
        <w:numPr>
          <w:ilvl w:val="0"/>
          <w:numId w:val="0"/>
        </w:numPr>
        <w:ind w:hanging="0" w:left="0"/>
        <w:rPr/>
      </w:pPr>
      <w:r>
        <w:rPr/>
        <w:t>1) Robot và chuỗi điều hướng</w:t>
      </w:r>
    </w:p>
    <w:p>
      <w:pPr>
        <w:pStyle w:val="BodyText"/>
        <w:rPr/>
      </w:pPr>
      <w:r>
        <w:rPr/>
        <w:t>Kiến trúc Nav2 đã được trình bày trong The Marathon 2 [42]; tổng quan ROS 2 của Macenski và cộng sự [43] đặt các thuật toán điều hướng trong hệ phần mềm có nhiều mô-đun. Nghiên cứu này kế thừa kiến trúc đó để thay đổi riêng tầng hậu xử lý khi so sánh. Các nguồn kiến trúc không được dùng để gán phiên bản thư viện hoặc cấu hình cho những lượt thử; những thông tin này phải lấy từ hồ sơ của bộ dữ liệu.</w:t>
      </w:r>
    </w:p>
    <w:p>
      <w:pPr>
        <w:pStyle w:val="BodyText"/>
        <w:rPr/>
      </w:pPr>
      <w:r>
        <w:rPr/>
        <w:t>Thử nghiệm sử dụng robot vi sai trong ROS 2 Jazzy, Nav2 và Gazebo. Đường sau hậu xử lý làm tham chiếu cho bộ điều khiển Regulated Pure Pursuit, viết tắt RPP [31]. Lệnh vận tốc đi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pStyle w:val="Normal"/>
        <w:keepNext w:val="true"/>
        <w:spacing w:before="60" w:after="0"/>
        <w:ind w:hanging="0"/>
        <w:jc w:val="center"/>
        <w:rPr/>
      </w:pPr>
      <w:r>
        <w:rPr/>
        <w:drawing>
          <wp:inline distT="0" distB="0" distL="0" distR="0">
            <wp:extent cx="3089910" cy="1782445"/>
            <wp:effectExtent l="0" t="0" r="0" b="0"/>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pic:cNvPicPr>
                      <a:picLocks noChangeAspect="1" noChangeArrowheads="1"/>
                    </pic:cNvPicPr>
                  </pic:nvPicPr>
                  <pic:blipFill>
                    <a:blip r:embed="rId4"/>
                    <a:stretch>
                      <a:fillRect/>
                    </a:stretch>
                  </pic:blipFill>
                  <pic:spPr bwMode="auto">
                    <a:xfrm>
                      <a:off x="0" y="0"/>
                      <a:ext cx="3089910" cy="1782445"/>
                    </a:xfrm>
                    <a:prstGeom prst="rect">
                      <a:avLst/>
                    </a:prstGeom>
                  </pic:spPr>
                </pic:pic>
              </a:graphicData>
            </a:graphic>
          </wp:inline>
        </w:drawing>
      </w:r>
    </w:p>
    <w:p>
      <w:pPr>
        <w:pStyle w:val="figurecaption"/>
        <w:keepNext w:val="false"/>
        <w:keepLines/>
        <w:numPr>
          <w:ilvl w:val="0"/>
          <w:numId w:val="0"/>
        </w:numPr>
        <w:ind w:hanging="0" w:left="0"/>
        <w:rPr/>
      </w:pPr>
      <w:r>
        <w:rPr/>
        <w:t>Hình 3. 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w:t>
      </w:r>
    </w:p>
    <w:p>
      <w:pPr>
        <w:pStyle w:val="BodyText"/>
        <w:rPr/>
      </w:pPr>
      <w:r>
        <w:rPr/>
        <w:t>Hình 3 và Bảng 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val="true"/>
        <w:numPr>
          <w:ilvl w:val="0"/>
          <w:numId w:val="0"/>
        </w:numPr>
        <w:ind w:hanging="0" w:left="0"/>
        <w:rPr/>
      </w:pPr>
      <w:r>
        <w:rPr/>
        <w:t>BẢNG I. THAM SỐ ROBOT VÀ GIAO THỨC ĐIỀU HƯỚNG</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2591"/>
        <w:gridCol w:w="2275"/>
      </w:tblGrid>
      <w:tr>
        <w:trPr>
          <w:tblHeader w:val="true"/>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Đại lượng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Giá trị</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Hệ phần mềm</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ROS 2 Jazzy, Nav2, Gazebo</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Kích thước hình chiếu bằng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0,44 × 0,34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Bán kính bánh dẫn động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0,0425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bánh trong PSTMO</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0,2548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bánh hiệu dụng trong mô phỏng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0,2834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Độ phân giải bản đồ</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0,05 m/ô</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RPP: tần số / khoảng nhìn trước</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Hz / 0,50 m</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đặt / xoay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 m/s / 0,25 rad/s</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Bộ kiểm tra đích Nav2: vị trí /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 m / 0,10 rad</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Tiêu chí hoàn thành: vị trí / hướng</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 m / 0,15 rad</w:t>
            </w:r>
          </w:p>
        </w:tc>
      </w:tr>
      <w:tr>
        <w:trPr>
          <w:cantSplit w:val="true"/>
        </w:trPr>
        <w:tc>
          <w:tcPr>
            <w:tcW w:w="25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Tiêu chí dừng: |v| / |ω|</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 xml:space="preserve">≤ </w:t>
            </w:r>
            <w:r>
              <w:rPr/>
              <w:t>0,01 m/s / ≤ 0,02 rad/s</w:t>
            </w:r>
          </w:p>
        </w:tc>
      </w:tr>
    </w:tbl>
    <w:p>
      <w:pPr>
        <w:pStyle w:val="Normal"/>
        <w:spacing w:lineRule="exact" w:line="40" w:before="0" w:after="0"/>
        <w:rPr/>
      </w:pPr>
      <w:r>
        <w:rPr/>
      </w:r>
    </w:p>
    <w:p>
      <w:pPr>
        <w:pStyle w:val="Heading3"/>
        <w:keepNext w:val="true"/>
        <w:numPr>
          <w:ilvl w:val="0"/>
          <w:numId w:val="0"/>
        </w:numPr>
        <w:ind w:hanging="0" w:left="0"/>
        <w:rPr/>
      </w:pPr>
      <w:r>
        <w:rPr/>
        <w:t>2) Cấu hình PSTMO và tích hợp trong hệ điều hướng</w:t>
      </w:r>
    </w:p>
    <w:p>
      <w:pPr>
        <w:pStyle w:val="BodyText"/>
        <w:rPr/>
      </w:pPr>
      <w:r>
        <w:rPr/>
        <w:t>Bảng II trình bày các giá trị cấu hình PSTMO dùng trong khảo sát. Sau các phép kiểm tra đầu ra ở Mục II-E, đường được chuyển tới RPP để tạo lệnh vận tốc bám đường. Thời gian dự đoán tại góc dùng để lựa chọn chuyển tiếp; thời gian thực thi đo toàn nhiệm vụ có phản hồi điều khiển. Hai đại lượng không được dùng thay thế cho nhau.</w:t>
      </w:r>
    </w:p>
    <w:p>
      <w:pPr>
        <w:pStyle w:val="tablehead"/>
        <w:keepNext w:val="true"/>
        <w:numPr>
          <w:ilvl w:val="0"/>
          <w:numId w:val="0"/>
        </w:numPr>
        <w:ind w:hanging="0" w:left="0"/>
        <w:rPr/>
      </w:pPr>
      <w:r>
        <w:rPr/>
        <w:t>BẢNG II. CẤU HÌNH PSTMO TRONG NGHIÊN CỨU</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2620"/>
        <w:gridCol w:w="2246"/>
      </w:tblGrid>
      <w:tr>
        <w:trPr>
          <w:tblHeader w:val="true"/>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Thông số PSTMO</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Giá trị</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Chiều dài cắt d / tập α ban đầu</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0,02–0,80 m / {0,1; 0,2; 0,3; 0,4; 0,5}</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cách lấy mẫu kiểm tra / đầu ra</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0,02 / 0,05 m</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Ngưỡng góc / khoảng dự phòng</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 / 0,05 m (tự suy ra)</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Mức giảm thời gian tối thiểu / khoảng thời gian cho phép</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0,15 / 10,0 s</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 xml:space="preserve">Trọng số </w:t>
            </w:r>
            <w:r>
              <w:rPr>
                <w:i/>
              </w:rPr>
              <w:t>ρ</w:t>
            </w:r>
            <w:r>
              <w:rPr>
                <w:vertAlign w:val="subscript"/>
              </w:rPr>
              <w:t>c</w:t>
            </w:r>
            <w:r>
              <w:rPr/>
              <w:t xml:space="preserve"> / </w:t>
            </w:r>
            <w:r>
              <w:rPr>
                <w:i/>
              </w:rPr>
              <w:t>ρ</w:t>
            </w:r>
            <w:r>
              <w:rPr>
                <w:vertAlign w:val="subscript"/>
              </w:rPr>
              <w:t>ω</w:t>
            </w:r>
            <w:r>
              <w:rPr/>
              <w:t xml:space="preserve"> / </w:t>
            </w:r>
            <w:r>
              <w:rPr>
                <w:i/>
              </w:rPr>
              <w:t>ρ</w:t>
            </w:r>
            <w:r>
              <w:rPr>
                <w:vertAlign w:val="subscript"/>
              </w:rPr>
              <w:t>E</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0,15 / 0,10 / 0,75</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 xml:space="preserve">Hệ số </w:t>
            </w:r>
            <w:r>
              <w:rPr>
                <w:i/>
              </w:rPr>
              <w:t>E</w:t>
            </w:r>
            <w:r>
              <w:rPr>
                <w:vertAlign w:val="subscript"/>
              </w:rPr>
              <w:t>scale</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 m⁻¹</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thẳng / góc cực đại</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 m/s / 0,80 rad/s</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Vận tốc bánh / gia tốc ngang cực đại</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0,36 m/s / 0,18 m/s²</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Gia tốc / giảm tốc / gia tốc góc</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0,35 / 0,45 m/s² / 1,20 rad/s²</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Tiền xử lý</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Loại điểm trùng, xử lý dao động; không rút gọn bằng đường nhìn</w:t>
            </w:r>
          </w:p>
        </w:tc>
      </w:tr>
      <w:tr>
        <w:trPr>
          <w:cantSplit w:val="true"/>
        </w:trPr>
        <w:tc>
          <w:tcPr>
            <w:tcW w:w="26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Tìm đường cong</w:t>
            </w:r>
          </w:p>
        </w:tc>
        <w:tc>
          <w:tcPr>
            <w:tcW w:w="224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Phân cấp theo α với hai chiều dài cắt</w:t>
            </w:r>
          </w:p>
        </w:tc>
      </w:tr>
    </w:tbl>
    <w:p>
      <w:pPr>
        <w:pStyle w:val="Normal"/>
        <w:keepNext w:val="true"/>
        <w:spacing w:lineRule="exact" w:line="40" w:before="0" w:after="0"/>
        <w:rPr/>
      </w:pPr>
      <w:r>
        <w:rPr/>
      </w:r>
    </w:p>
    <w:p>
      <w:pPr>
        <w:pStyle w:val="ScientificNote"/>
        <w:keepLines/>
        <w:rPr/>
      </w:pPr>
      <w:r>
        <w:rPr/>
        <w:t xml:space="preserve">Ký hiệu </w:t>
      </w:r>
      <w:r>
        <w:rPr>
          <w:i/>
        </w:rPr>
        <w:t>δ</w:t>
      </w:r>
      <w:r>
        <w:rPr>
          <w:vertAlign w:val="subscript"/>
        </w:rPr>
        <w:t>T</w:t>
      </w:r>
      <w:r>
        <w:rPr/>
        <w:t xml:space="preserve"> là mức giảm thời gian tối thiểu so với quay tại chỗ. Khoảng thời gian cho phép so với </w:t>
      </w:r>
      <w:r>
        <w:rPr>
          <w:i/>
        </w:rPr>
        <w:t>T</w:t>
      </w:r>
      <w:r>
        <w:rPr>
          <w:vertAlign w:val="subscript"/>
        </w:rPr>
        <w:t>min</w:t>
      </w:r>
      <w:r>
        <w:rPr/>
        <w:t xml:space="preserve"> được chặn thêm bởi điều kiện tại Mục II-D. Khoảng cách lấy mẫu đường đầu ra khác khoảng cách kiểm tra đường cong; khoảng dự phòng 0,05 m được suy ra từ cấu hình và độ phân giải bản đồ.</w:t>
      </w:r>
    </w:p>
    <w:p>
      <w:pPr>
        <w:pStyle w:val="BodyText"/>
        <w:rPr/>
      </w:pPr>
      <w:r>
        <w:rPr/>
        <w:t>RPP sử dụng vận tốc đặt 0,30 m/s và khoảng nhìn trước cố định 0,50 m [31]. Điều chỉnh vận tốc theo độ cong và chi phí được tắt; kiểm tra va chạm, xoay hướng và giảm tốc gần đích vẫn hoạt động. Giá trị 0,25 rad/s trong Bảng I là vận tốc đặt cho xoay hướng, không phải giới hạn tuyệt đối của mọi lệnh vận tốc góc khi bám đường. Mô hình PSTMO và bộ làm mượt vận tốc dùng giới hạn 0,80 rad/s. Bộ làm mượt còn áp đặt tăng tốc, giảm tốc; giám sát va chạm có thể điều chỉnh lệnh trước khi tới robot. Do đó, thời gian dự đoán trong PSTMO không phải cam kết thời gian thực thi của hệ điều khiển.</w:t>
      </w:r>
    </w:p>
    <w:p>
      <w:pPr>
        <w:pStyle w:val="Heading3"/>
        <w:keepNext w:val="true"/>
        <w:numPr>
          <w:ilvl w:val="0"/>
          <w:numId w:val="0"/>
        </w:numPr>
        <w:ind w:hanging="0" w:left="0"/>
        <w:rPr/>
      </w:pPr>
      <w:r>
        <w:rPr/>
        <w:t>3) Bản đồ và năm bài toán di chuyển</w:t>
      </w:r>
    </w:p>
    <w:p>
      <w:pPr>
        <w:pStyle w:val="BodyText"/>
        <w:rPr/>
      </w:pPr>
      <w:r>
        <w:rP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pStyle w:val="Normal"/>
        <w:keepNext w:val="true"/>
        <w:spacing w:before="60" w:after="0"/>
        <w:ind w:hanging="0"/>
        <w:jc w:val="center"/>
        <w:rPr/>
      </w:pPr>
      <w:r>
        <w:rPr/>
        <w:drawing>
          <wp:inline distT="0" distB="0" distL="0" distR="0">
            <wp:extent cx="3089910" cy="2514600"/>
            <wp:effectExtent l="0" t="0" r="0" b="0"/>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ị trí năm tuyến trong cùng bản đồ mô phỏng. Mỗi màu là một đường gốc của Theta*; chấm tròn chỉ xuất phát và ngôi sao chỉ đích. Các đường có thể chồng lên nhau trên những hành lang dùng chung."/>
                    <pic:cNvPicPr>
                      <a:picLocks noChangeAspect="1" noChangeArrowheads="1"/>
                    </pic:cNvPicPr>
                  </pic:nvPicPr>
                  <pic:blipFill>
                    <a:blip r:embed="rId5"/>
                    <a:stretch>
                      <a:fillRect/>
                    </a:stretch>
                  </pic:blipFill>
                  <pic:spPr bwMode="auto">
                    <a:xfrm>
                      <a:off x="0" y="0"/>
                      <a:ext cx="3089910" cy="2514600"/>
                    </a:xfrm>
                    <a:prstGeom prst="rect">
                      <a:avLst/>
                    </a:prstGeom>
                  </pic:spPr>
                </pic:pic>
              </a:graphicData>
            </a:graphic>
          </wp:inline>
        </w:drawing>
      </w:r>
    </w:p>
    <w:p>
      <w:pPr>
        <w:pStyle w:val="figurecaption"/>
        <w:keepNext w:val="false"/>
        <w:keepLines/>
        <w:numPr>
          <w:ilvl w:val="0"/>
          <w:numId w:val="0"/>
        </w:numPr>
        <w:ind w:hanging="0" w:left="0"/>
        <w:rPr/>
      </w:pPr>
      <w:r>
        <w:rP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val="true"/>
        <w:numPr>
          <w:ilvl w:val="0"/>
          <w:numId w:val="0"/>
        </w:numPr>
        <w:ind w:hanging="0" w:left="0"/>
        <w:rPr/>
      </w:pPr>
      <w:r>
        <w:rPr/>
        <w:t>BẢNG III. TỌA ĐỘ ĐẦU VÀ ĐÍCH TRONG HỆ TỌA ĐỘ BẢN ĐỒ</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661"/>
        <w:gridCol w:w="2103"/>
        <w:gridCol w:w="2103"/>
      </w:tblGrid>
      <w:tr>
        <w:trPr>
          <w:tblHeader w:val="true"/>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Tuyến</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Xuất phát (x, y) m</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Đích (x, y) m</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R01</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R02</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R03</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-4,6; 2,8</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 -2,8</w:t>
            </w:r>
          </w:p>
        </w:tc>
      </w:tr>
      <w:tr>
        <w:trPr>
          <w:cantSplit w:val="true"/>
        </w:trPr>
        <w:tc>
          <w:tcPr>
            <w:tcW w:w="6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R05</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-5,0; 0,0</w:t>
            </w:r>
          </w:p>
        </w:tc>
        <w:tc>
          <w:tcPr>
            <w:tcW w:w="210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0,0; 3,0</w:t>
            </w:r>
          </w:p>
        </w:tc>
      </w:tr>
    </w:tbl>
    <w:p>
      <w:pPr>
        <w:pStyle w:val="Normal"/>
        <w:spacing w:lineRule="exact" w:line="40" w:before="0" w:after="0"/>
        <w:rPr/>
      </w:pPr>
      <w:r>
        <w:rPr/>
      </w:r>
    </w:p>
    <w:p>
      <w:pPr>
        <w:pStyle w:val="BodyText"/>
        <w:rPr/>
      </w:pPr>
      <w:r>
        <w:rP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rPr/>
      </w:pPr>
      <w:r>
        <w:rPr/>
        <w:t>Năm tuyến khảo sát các dạng chuyển hướng trên cùng một bố trí vật cản: R01 xét chuyển lối tại giao cắt; R02 xét hành trình dài với các đoạn gần thẳng; R03 xét chuỗi góc liên tiếp; R04 bổ sung chiều tiếp cận và chuỗi chuyển hướng khác; R05 tập trung chuyển hướng và tiếp cận đích trên tuyến ngắn. Các tuyến dùng chung một số hành lang. R04 khác R02 cả điểm đầu, điểm đích và hình học đường, nên không tạo thành thí nghiệm tách riêng ảnh hưởng của chiều tiếp cận.</w:t>
      </w:r>
    </w:p>
    <w:p>
      <w:pPr>
        <w:pStyle w:val="Heading3"/>
        <w:keepNext w:val="true"/>
        <w:numPr>
          <w:ilvl w:val="0"/>
          <w:numId w:val="0"/>
        </w:numPr>
        <w:ind w:hanging="0" w:left="0"/>
        <w:rPr/>
      </w:pPr>
      <w:r>
        <w:rPr/>
        <w:t>4) Bộ lập kế hoạch và các phương án đối chứng</w:t>
      </w:r>
    </w:p>
    <w:p>
      <w:pPr>
        <w:pStyle w:val="BodyText"/>
        <w:rPr/>
      </w:pPr>
      <w:r>
        <w:rP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rPr/>
      </w:pPr>
      <w:r>
        <w:rPr/>
        <w:t>Tài liệu Smoother Server mô tả giao diện tác vụ và cơ chế nạp nhiều plugin cùng dùng tài nguyên bản đồ, hình bao và biến đổi tọa độ [44]. Ở cấp thuật toán, Simple cân bằng độ bám đường đầu vào với giảm dao động [45]; Savitzky–Golay sử dụng lọc đa thức cục bộ để xử lý các nhiễu nhỏ của đường [46]; Constrained tối ưu nhiều thành phần liên quan độ trơn, vật cản và độ cong [47]. Bốn nguồn này là snapshot tài liệu Rolling, dùng để giải thích vai trò các thành phần, không thay thế cấu hình Jazzy trong Bảng IV hoặc chứng minh các giá trị mặc định đã được dùng. Nền tảng bộ lọc và tài liệu Jazzy của đối chứng được trích riêng dưới đây.</w:t>
      </w:r>
    </w:p>
    <w:p>
      <w:pPr>
        <w:pStyle w:val="BodyText"/>
        <w:rPr/>
      </w:pPr>
      <w:r>
        <w:rPr/>
        <w:t>Năm phương án gồm đường gốc, Simple, Savitzky–Golay, Constrained và PSTMO. Đường gốc giữ nguyên đầu ra của bộ lập kế hoạch để đối chiếu thay đổi do hậu xử lý. Simple làm mượt lặp; Savitzky–Golay, viết tắt SG trong bảng và hình, dùng bộ lọc bình phương tối thiểu cục bộ [48]; Constrained tối ưu số các thành phần chất lượng đường [29]. Ba đối chứng làm mượt cho phép so sánh các cách xử lý khác nhau dưới cùng bộ điều khiển. Bảng IV trình bày cấu hình từng phương án.</w:t>
      </w:r>
    </w:p>
    <w:p>
      <w:pPr>
        <w:pStyle w:val="tablehead"/>
        <w:keepNext w:val="true"/>
        <w:numPr>
          <w:ilvl w:val="0"/>
          <w:numId w:val="0"/>
        </w:numPr>
        <w:ind w:hanging="0" w:left="0"/>
        <w:rPr/>
      </w:pPr>
      <w:r>
        <w:rPr/>
        <w:t>BẢNG IV. CẤU HÌNH CÁC PHƯƠNG ÁN HẬU XỬ LÝ</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67"/>
        <w:gridCol w:w="3599"/>
      </w:tblGrid>
      <w:tr>
        <w:trPr>
          <w:tblHeader w:val="true"/>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Cấu hình đáng chú ý</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Không hậu xử lý; giữ đường của bộ lập kế hoạch</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Tối đa 1.000 vòng; dung sai 10⁻¹⁰; tinh chỉnh hai lần</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Savitzky–Golay; tinh chỉnh hai lần</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Trọng số làm trơn 200.000; chi phí vật cản 0,015; trọng số khoảng cách và độ cong đều bằng 0; tối đa 70 vòng; hệ số giảm/tăng mẫu 1; giữ hướng đầu–cuối; tắt đi lùi</w:t>
            </w:r>
          </w:p>
        </w:tc>
      </w:tr>
      <w:tr>
        <w:trPr>
          <w:cantSplit w:val="true"/>
        </w:trPr>
        <w:tc>
          <w:tcPr>
            <w:tcW w:w="1267"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jc w:val="left"/>
              <w:rPr/>
            </w:pPr>
            <w:r>
              <w:rPr/>
              <w:t>PSTMO</w:t>
            </w:r>
          </w:p>
        </w:tc>
        <w:tc>
          <w:tcPr>
            <w:tcW w:w="359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false"/>
              <w:rPr/>
            </w:pPr>
            <w:r>
              <w:rPr/>
              <w:t>Tham số trong Bảng II; cùng RPP và đường bao robot</w:t>
            </w:r>
          </w:p>
        </w:tc>
      </w:tr>
    </w:tbl>
    <w:p>
      <w:pPr>
        <w:pStyle w:val="Normal"/>
        <w:spacing w:lineRule="exact" w:line="40" w:before="0" w:after="0"/>
        <w:rPr/>
      </w:pPr>
      <w:r>
        <w:rPr/>
      </w:r>
    </w:p>
    <w:p>
      <w:pPr>
        <w:pStyle w:val="BodyText"/>
        <w:rPr/>
      </w:pPr>
      <w:r>
        <w:rP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val="true"/>
        <w:numPr>
          <w:ilvl w:val="0"/>
          <w:numId w:val="0"/>
        </w:numPr>
        <w:ind w:hanging="0" w:left="0"/>
        <w:rPr/>
      </w:pPr>
      <w:r>
        <w:rPr/>
        <w:t>5) Hai bộ dữ liệu và kiểm soát đầu vào</w:t>
      </w:r>
    </w:p>
    <w:p>
      <w:pPr>
        <w:pStyle w:val="BodyText"/>
        <w:rPr/>
      </w:pPr>
      <w:r>
        <w:rPr/>
        <w:t>Ma trận khảo sát gồm 125 lượt, tương ứng 5 tuyến × 5 bộ lập kế hoạch × 5 phương án. Mỗi tổ hợp được thực thi một lần. Hình và chỉ số được lấy từ cùng bản ghi thực thi. Mã kiểm tra của đường gốc được đối chiếu trong từng nhóm để xác nhận các phương án nhận cùng đầu vào hình học.</w:t>
      </w:r>
    </w:p>
    <w:p>
      <w:pPr>
        <w:pStyle w:val="BodyText"/>
        <w:rPr/>
      </w:pPr>
      <w:r>
        <w:rP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rPr/>
      </w:pPr>
      <w:r>
        <w:rPr/>
        <w:t>Một lượt cho mỗi tổ hợp chưa xác định được biến thiên khi thực thi lại cùng nhiệm vụ. Vì vậy, bộ kiểm chứng lặp đánh giá mức độ duy trì của chênh lệch hiệu năng khi giữ cố định đầu vào và cấu hình. Constrained cung cấp đối chứng tối ưu số trong cùng Nav2 để đối chiếu với cách xây dựng và lựa chọn chuỗi chuyển tiếp của PSTMO. Phạm vi lặp chỉ gồm hai phương án này, không thay thế so sánh đủ năm phương án hoặc xác lập ưu thế so với các đối chứng còn lại.</w:t>
      </w:r>
    </w:p>
    <w:p>
      <w:pPr>
        <w:pStyle w:val="BodyText"/>
        <w:rPr/>
      </w:pPr>
      <w:r>
        <w:rP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val="true"/>
        <w:numPr>
          <w:ilvl w:val="0"/>
          <w:numId w:val="0"/>
        </w:numPr>
        <w:ind w:hanging="0" w:left="0"/>
        <w:rPr/>
      </w:pPr>
      <w:r>
        <w:rPr/>
        <w:t>6) Tiêu chí hoàn thành và xử lý lỗi</w:t>
      </w:r>
    </w:p>
    <w:p>
      <w:pPr>
        <w:pStyle w:val="BodyText"/>
        <w:rPr/>
      </w:pPr>
      <w:r>
        <w:rP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w:t>
      </w:r>
    </w:p>
    <w:p>
      <w:pPr>
        <w:pStyle w:val="BodyText"/>
        <w:rPr/>
      </w:pPr>
      <w:r>
        <w:rP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rPr/>
      </w:pPr>
      <w:r>
        <w:rP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val="true"/>
        <w:numPr>
          <w:ilvl w:val="0"/>
          <w:numId w:val="0"/>
        </w:numPr>
        <w:ind w:hanging="0" w:left="0"/>
        <w:rPr/>
      </w:pPr>
      <w:r>
        <w:rPr/>
        <w:t>7) Chỉ số đo và cách diễn giải</w:t>
      </w:r>
    </w:p>
    <w:p>
      <w:pPr>
        <w:pStyle w:val="BodyText"/>
        <w:rPr/>
      </w:pPr>
      <w:r>
        <w:rPr/>
        <w:t>Toàn bộ 125 bản ghi có đủ đường tham chiếu, quỹ đạo thực thi, độ giật và chuỗi trạng thái. Các chỉ số của cùng lượt được trích từ cùng bản ghi. Quỹ đạo thực thi được lấy mẫu lại theo chiều dài cung với bước 0,05 m, rồi làm mượt bằng trung bình trượt đối xứng với hai mẫu mỗi phía, giữ hai đầu đường. Quy trình này được áp dụng thống nhất trước khi tính RMSE và tích phân bình phương độ cong của quỹ đạo thực thi.</w:t>
      </w:r>
    </w:p>
    <w:p>
      <w:pPr>
        <w:pStyle w:val="BodyText"/>
        <w:rPr/>
      </w:pPr>
      <w:r>
        <w:rPr/>
        <w:t xml:space="preserve">Chiều dài đường tham chiếu L là tổng khoảng cách giữa các điểm đầu ra. Quãng đường thực thi D được tính từ các vị trí robot trước bước xử lý quỹ đạo. Ký hiệu </w:t>
      </w:r>
      <w:r>
        <w:rPr>
          <w:i/>
        </w:rPr>
        <w:t>E</w:t>
      </w:r>
      <w:r>
        <w:rPr>
          <w:vertAlign w:val="subscript"/>
        </w:rPr>
        <w:t>κ,ref</w:t>
      </w:r>
      <w:r>
        <w:rPr/>
        <w:t xml:space="preserve"> và </w:t>
      </w:r>
      <w:r>
        <w:rPr>
          <w:i/>
        </w:rPr>
        <w:t>E</w:t>
      </w:r>
      <w:r>
        <w:rPr>
          <w:vertAlign w:val="subscript"/>
        </w:rPr>
        <w:t>κ,exec</w:t>
      </w:r>
      <w:r>
        <w:rPr/>
        <w:t xml:space="preserve"> lần lượt chỉ tích phân bình phương độ cong của đường tham chiếu và quỹ đạo thực thi đã xử lý. Mức giảm </w:t>
      </w:r>
      <w:r>
        <w:rPr>
          <w:i/>
        </w:rPr>
        <w:t>E</w:t>
      </w:r>
      <w:r>
        <w:rPr>
          <w:vertAlign w:val="subscript"/>
        </w:rPr>
        <w:t>κ,ref</w:t>
      </w:r>
      <w:r>
        <w:rPr/>
        <w:t xml:space="preserve"> không mặc nhiên dẫn đến mức giảm tương ứng của </w:t>
      </w:r>
      <w:r>
        <w:rPr>
          <w:i/>
        </w:rPr>
        <w:t>E</w:t>
      </w:r>
      <w:r>
        <w:rPr>
          <w:vertAlign w:val="subscript"/>
        </w:rPr>
        <w:t>κ,exec</w:t>
      </w:r>
      <w:r>
        <w:rPr/>
        <w:t>.</w:t>
      </w:r>
    </w:p>
    <w:p>
      <w:pPr>
        <w:pStyle w:val="BodyText"/>
        <w:rPr/>
      </w:pPr>
      <w:r>
        <w:rPr/>
        <w:t xml:space="preserve">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Độ cong cực đại </w:t>
      </w:r>
      <w:r>
        <w:rPr>
          <w:i/>
        </w:rPr>
        <w:t>κ</w:t>
      </w:r>
      <w:r>
        <w:rPr>
          <w:vertAlign w:val="subscript"/>
        </w:rPr>
        <w:t>max</w:t>
      </w:r>
      <w:r>
        <w:rPr/>
        <w:t xml:space="preserve"> là cực đại trị tuyệt đối độ cong ước lượng trên các điểm đầu ra chưa lấy mẫu lại. Các chỉ số này phụ thuộc mật độ điểm.</w:t>
      </w:r>
    </w:p>
    <w:p>
      <w:pPr>
        <w:pStyle w:val="BodyText"/>
        <w:rPr/>
      </w:pPr>
      <w:r>
        <w:rPr/>
        <w:t xml:space="preserve">Để kiểm tra ảnh hưởng lấy mẫu, phần tịnh tiến của đường tham chiếu được tách tại các tư thế quay tại chỗ và lấy mẫu lại với bước 0,05 m, cho các chỉ số </w:t>
      </w:r>
      <w:r>
        <w:rPr>
          <w:i/>
        </w:rPr>
        <w:t>κ</w:t>
      </w:r>
      <w:r>
        <w:rPr>
          <w:vertAlign w:val="subscript"/>
        </w:rPr>
        <w:t>t,max</w:t>
      </w:r>
      <w:r>
        <w:rPr/>
        <w:t xml:space="preserve"> và </w:t>
      </w:r>
      <w:r>
        <w:rPr>
          <w:i/>
        </w:rPr>
        <w:t>E</w:t>
      </w:r>
      <w:r>
        <w:rPr>
          <w:vertAlign w:val="subscript"/>
        </w:rPr>
        <w:t>κ,t</w:t>
      </w:r>
      <w:r>
        <w:rPr/>
        <w:t>. Dấu quay tại chỗ được nhận diện khi dịch chuyển không quá 0,0001 m và thay đổi hướng ít nhất 5°. Đây là dấu trong đường tham chiếu, không phải số lần robot thực sự xoay khi điều khiển.</w:t>
      </w:r>
    </w:p>
    <w:p>
      <w:pPr>
        <w:pStyle w:val="BodyText"/>
        <w:rPr/>
      </w:pPr>
      <w:r>
        <w:rPr/>
        <w:t>Sai số bám đường là khoảng cách nhỏ nhất từ vị trí xₖ trên quỹ đạo thực thi đã xử lý đến các đoạn của đường tham chiếu P. Với N vị trí, căn trung bình bình phương sai số, viết tắt RMSE, được xác định trong công thức 8. Mỗi phương án dùng đường tham chiếu riêng; RMSE phản ánh khả năng bám đường, không phải sai số định vị. Do lấy mẫu theo chiều dài cung, đây là chỉ số trên không gian đường đi, không phải trung bình theo thời gian; nó không mô tả riêng sai số hướng khi quay tại chỗ.</w:t>
      </w:r>
    </w:p>
    <w:p>
      <w:pPr>
        <w:pStyle w:val="ScientificEquation"/>
        <w:keepNext w:val="false"/>
        <w:keepLines/>
        <w:tabs>
          <w:tab w:val="clear" w:pos="288"/>
          <w:tab w:val="center" w:pos="2433" w:leader="none"/>
          <w:tab w:val="right" w:pos="4866" w:leader="none"/>
        </w:tabs>
        <w:spacing w:before="60" w:after="120"/>
        <w:jc w:val="left"/>
        <w:rPr/>
      </w:pPr>
      <w:r>
        <w:rPr/>
        <w:tab/>
      </w:r>
      <w:r>
        <w:rPr/>
      </w:r>
      <m:oMath xmlns:m="http://schemas.openxmlformats.org/officeDocument/2006/math">
        <m:sSub>
          <m:e>
            <m:r>
              <w:rPr>
                <w:rFonts w:ascii="Cambria Math" w:hAnsi="Cambria Math"/>
              </w:rPr>
              <m:t xml:space="preserve">e</m:t>
            </m:r>
          </m:e>
          <m:sub>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dist</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P</m:t>
                </m:r>
                <m:sSup>
                  <m:e>
                    <m:r>
                      <w:rPr>
                        <w:rFonts w:ascii="Cambria Math" w:hAnsi="Cambria Math"/>
                      </w:rPr>
                      <m:t xml:space="preserve">)</m:t>
                    </m:r>
                  </m:e>
                  <m:sup>
                    <m:r>
                      <w:rPr>
                        <w:rFonts w:ascii="Cambria Math" w:hAnsi="Cambria Math"/>
                      </w:rPr>
                      <m:t xml:space="preserve">2</m:t>
                    </m:r>
                  </m:sup>
                </m:sSup>
              </m:e>
            </m:nary>
          </m:e>
        </m:rad>
        <m:r>
          <w:rPr>
            <w:rFonts w:ascii="Cambria Math" w:hAnsi="Cambria Math"/>
          </w:rPr>
          <m:t xml:space="preserve">.</m:t>
        </m:r>
      </m:oMath>
      <w:r>
        <w:rPr/>
        <w:tab/>
        <w:t>(8)</w:t>
      </w:r>
    </w:p>
    <w:p>
      <w:pPr>
        <w:pStyle w:val="BodyText"/>
        <w:rPr/>
      </w:pPr>
      <w:r>
        <w:rPr/>
        <w:t xml:space="preserve">Sai số bám cực đại </w:t>
      </w:r>
      <w:r>
        <w:rPr>
          <w:i/>
        </w:rPr>
        <w:t>e</w:t>
      </w:r>
      <w:r>
        <w:rPr>
          <w:vertAlign w:val="subscript"/>
        </w:rPr>
        <w:t>max</w:t>
      </w:r>
      <w:r>
        <w:rPr/>
        <w:t xml:space="preserve"> dùng cùng phép đo khoảng cách và quỹ đạo đã xử lý như RMSE. Sai số cuối </w:t>
      </w:r>
      <w:r>
        <w:rPr>
          <w:i/>
        </w:rPr>
        <w:t>e</w:t>
      </w:r>
      <w:r>
        <w:rPr>
          <w:vertAlign w:val="subscript"/>
        </w:rPr>
        <w:t>p</w:t>
      </w:r>
      <w:r>
        <w:rPr/>
        <w:t xml:space="preserve"> và </w:t>
      </w:r>
      <w:r>
        <w:rPr>
          <w:i/>
        </w:rPr>
        <w:t>e</w:t>
      </w:r>
      <w:r>
        <w:rPr>
          <w:vertAlign w:val="subscript"/>
        </w:rPr>
        <w:t>ψ</w:t>
      </w:r>
      <w:r>
        <w:rPr/>
        <w:t xml:space="preserve"> lần lượt là khoảng cách tới vị trí đích và trị tuyệt đối sai lệch hướng đã quy về [0; π], tính từ trạng thái cuối của mô phỏng. Sai số cuối phản ánh kết quả dừng tại đích, khác với sai số bám trên hành trình.</w:t>
      </w:r>
    </w:p>
    <w:p>
      <w:pPr>
        <w:pStyle w:val="BodyText"/>
        <w:rPr/>
      </w:pPr>
      <w:r>
        <w:rPr/>
        <w:t>Thời gian thực thi T được đo bằng đồng hồ mô phỏng, gồm thời gian điều hướng và thời gian chờ robot dừng. Thời lượng hậu xử lý do tác vụ làm mượt Nav2 trả về, được tính bằng đồng hồ của nút phần mềm [49]. Khi dùng thời gian mô phỏng, đại lượng này không phải thời gian CPU hoặc thời gian thực độc lập của máy tính.</w:t>
      </w:r>
    </w:p>
    <w:p>
      <w:pPr>
        <w:pStyle w:val="BodyText"/>
        <w:rPr/>
      </w:pPr>
      <w:r>
        <w:rPr/>
        <w:t>Khoảng hở c là khoảng cách nhỏ nhất giữa đường bao đã định hướng và vật cản trên bản đồ tĩnh. Phép đo trên đường tham chiếu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rPr/>
      </w:pPr>
      <w:r>
        <w:rPr/>
        <w:t>Phân vị 95% của trị tuyệt đối độ giật tịnh tiến mô tả biến thiên gia tốc. Độ giật được ước lượng từ chuỗi vận tốc mô phỏng bằng sai phân và phụ thuộc nhịp lấy mẫu. Vận tốc bánh tương đương được suy từ v ± bω/2 với b = 0,2548 m; gia tốc ngang là |vω|. Gia tốc và độ giật dùng bước thời gian hợp lệ từ 0,0001 đến 0,5 s. Cực đại chỉ mô tả các mẫu đã ghi, chưa chứng minh ràng buộc liên tục giữa các mẫu. Hệ thống còn ghi số lần giám sát va chạm can thiệp và số mẫu đường bao va chạm; chưa đo điện năng, rung tải hàng hoặc lực tiếp xúc.</w:t>
      </w:r>
    </w:p>
    <w:p>
      <w:pPr>
        <w:pStyle w:val="BodyText"/>
        <w:rPr/>
      </w:pPr>
      <w:r>
        <w:rPr/>
        <w:t xml:space="preserve">Các chỉ số hình học dùng toàn bộ 25 đường của mỗi phương án; trung bình thực thi dùng tập lượt đạt và ghi rõ mẫu số. So sánh ghép cặp chỉ dùng các lượt cùng đầu vào mà cả hai phương án đạt. Trong phân tích bộ lặp, thời gian, RMSE và </w:t>
      </w:r>
      <w:r>
        <w:rPr>
          <w:i/>
        </w:rPr>
        <w:t>E</w:t>
      </w:r>
      <w:r>
        <w:rPr>
          <w:vertAlign w:val="subscript"/>
        </w:rPr>
        <w:t>κ,exec</w:t>
      </w:r>
      <w:r>
        <w:rPr/>
        <w:t xml:space="preserve"> là ba chỉ số chính được hiệu chỉnh đa kiểm định; các chỉ số còn lại bổ sung thông tin về đánh đổi. Phương pháp thống kê được trình bày tại Mục III-H.</w:t>
      </w:r>
    </w:p>
    <w:p>
      <w:pPr>
        <w:pStyle w:val="Heading2"/>
        <w:keepNext w:val="true"/>
        <w:numPr>
          <w:ilvl w:val="0"/>
          <w:numId w:val="0"/>
        </w:numPr>
        <w:ind w:hanging="0" w:left="0"/>
        <w:rPr/>
      </w:pPr>
      <w:r>
        <w:rPr/>
        <w:t>B. R01 Chuyển lối tại giao cắt</w:t>
      </w:r>
    </w:p>
    <w:p>
      <w:pPr>
        <w:pStyle w:val="Heading3"/>
        <w:keepNext w:val="true"/>
        <w:numPr>
          <w:ilvl w:val="0"/>
          <w:numId w:val="0"/>
        </w:numPr>
        <w:ind w:hanging="0" w:left="0"/>
        <w:rPr/>
      </w:pPr>
      <w:r>
        <w:rPr/>
        <w:t>1) Mục tiêu và hình học của tuyến</w:t>
      </w:r>
    </w:p>
    <w:p>
      <w:pPr>
        <w:pStyle w:val="BodyText"/>
        <w:rPr/>
      </w:pPr>
      <w:r>
        <w:rPr/>
        <w:t>R01 chuyển từ hành lang phía dưới tại x = −2 m sang hành lang phía trên tại x = 2 m qua hành lang ngang. Tuyến này khảo sát các mối nối giữa đoạn thẳng và vùng rẽ, nơi đường theo lưới có thể chứa nhiều đoạn ngắn với độ cong cục bộ lớn.</w:t>
      </w:r>
    </w:p>
    <w:p>
      <w:pPr>
        <w:pStyle w:val="BodyText"/>
        <w:rPr/>
      </w:pPr>
      <w:r>
        <w:rPr/>
        <w:t>Hình 5 so sánh năm đường tham chiếu của Theta*, bộ lập kế hoạch dùng thống nhất trong các hình R01–R05. Vùng phóng to được chọn tại điểm trên đường PSTMO cách xa nhất các đỉnh đường gốc. Đây là quy tắc minh họa khác biệt hình học, không phải lựa chọn theo mức cải thiện thực thi.</w:t>
      </w:r>
    </w:p>
    <w:p>
      <w:pPr>
        <w:pStyle w:val="tablehead"/>
        <w:keepNext w:val="true"/>
        <w:numPr>
          <w:ilvl w:val="0"/>
          <w:numId w:val="0"/>
        </w:numPr>
        <w:ind w:hanging="0" w:left="0"/>
        <w:rPr/>
      </w:pPr>
      <w:r>
        <w:rPr/>
        <w:t>BẢNG V. KẾT QUẢ MÔ TẢ R01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43,50</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22,7</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146,25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41,49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13,91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42,88</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35,65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43,21</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18,62</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39,74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15,7</w:t>
            </w:r>
          </w:p>
        </w:tc>
      </w:tr>
    </w:tbl>
    <w:p>
      <w:pPr>
        <w:pStyle w:val="Normal"/>
        <w:keepNext w:val="true"/>
        <w:spacing w:lineRule="exact" w:line="40" w:before="0" w:after="0"/>
        <w:rPr/>
      </w:pPr>
      <w:r>
        <w:rPr/>
      </w:r>
    </w:p>
    <w:p>
      <w:pPr>
        <w:pStyle w:val="ScientificNote"/>
        <w:keepLines/>
        <w:rPr/>
      </w:pPr>
      <w:r>
        <w:rPr/>
        <w:t xml:space="preserve">T và e là trung bình các lượt đạt; </w:t>
      </w:r>
      <w:r>
        <w:rPr>
          <w:i/>
        </w:rPr>
        <w:t>E</w:t>
      </w:r>
      <w:r>
        <w:rPr>
          <w:vertAlign w:val="subscript"/>
        </w:rPr>
        <w:t>κ,ref</w:t>
      </w:r>
      <w:r>
        <w:rPr/>
        <w:t xml:space="preserve"> và c lấy trên năm đường tham chiếu. </w:t>
      </w:r>
      <w:r>
        <w:rPr>
          <w:i/>
        </w:rPr>
        <w:t>E</w:t>
      </w:r>
      <w:r>
        <w:rPr>
          <w:vertAlign w:val="subscript"/>
        </w:rPr>
        <w:t>κ,ref</w:t>
      </w:r>
      <w:r>
        <w:rPr/>
        <w:t xml:space="preserve"> có đơn vị m⁻¹; c là trung bình của khoảng hở nhỏ nhất từng đường, không phải khoảng hở nhỏ nhất của cả nhóm. SG viết tắt Savitzky–Golay.</w:t>
      </w:r>
    </w:p>
    <w:p>
      <w:pPr>
        <w:pStyle w:val="Normal"/>
        <w:keepNext w:val="true"/>
        <w:spacing w:before="60" w:after="0"/>
        <w:ind w:hanging="0"/>
        <w:jc w:val="center"/>
        <w:rPr/>
      </w:pPr>
      <w:r>
        <w:rPr/>
        <w:drawing>
          <wp:inline distT="0" distB="0" distL="0" distR="0">
            <wp:extent cx="3089910" cy="3338195"/>
            <wp:effectExtent l="0" t="0" r="0" b="0"/>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01 với Theta*: (a) đường tham chiếu trên toàn tuyến; (b) vùng phóng to. Cùng màu và kiểu nét được dùng xuyên suốt các tuyến. Đây là đường tham chiếu, không phải quỹ đạo thực thi của robot."/>
                    <pic:cNvPicPr>
                      <a:picLocks noChangeAspect="1" noChangeArrowheads="1"/>
                    </pic:cNvPicPr>
                  </pic:nvPicPr>
                  <pic:blipFill>
                    <a:blip r:embed="rId6"/>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val="true"/>
        <w:numPr>
          <w:ilvl w:val="0"/>
          <w:numId w:val="0"/>
        </w:numPr>
        <w:ind w:hanging="0" w:left="0"/>
        <w:rPr/>
      </w:pPr>
      <w:r>
        <w:rPr/>
        <w:t>2) Hình học đường và kết quả thực thi</w:t>
      </w:r>
    </w:p>
    <w:p>
      <w:pPr>
        <w:pStyle w:val="BodyText"/>
        <w:rPr/>
      </w:pPr>
      <w:r>
        <w:rP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rPr/>
      </w:pPr>
      <w:r>
        <w:rP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val="true"/>
        <w:numPr>
          <w:ilvl w:val="0"/>
          <w:numId w:val="0"/>
        </w:numPr>
        <w:ind w:hanging="0" w:left="0"/>
        <w:rPr/>
      </w:pPr>
      <w:r>
        <w:rPr/>
        <w:t>BẢNG VI. CHIỀU DÀI, ĐỘ CONG CỰC ĐẠI VÀ CHỈ SỐ BỔ SUNG TẠI R01</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7,711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24,46</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7,566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62,8</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7,640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10,13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7,526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57,4</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7,688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16,88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7,559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63,1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7,703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9,82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7,570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68,2</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7,541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7,464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102,0</w:t>
            </w:r>
          </w:p>
        </w:tc>
      </w:tr>
    </w:tbl>
    <w:p>
      <w:pPr>
        <w:pStyle w:val="Normal"/>
        <w:keepNext w:val="true"/>
        <w:spacing w:lineRule="exact" w:line="40" w:before="0" w:after="0"/>
        <w:rPr/>
      </w:pPr>
      <w:r>
        <w:rPr/>
      </w:r>
    </w:p>
    <w:p>
      <w:pPr>
        <w:pStyle w:val="ScientificNote"/>
        <w:keepLines/>
        <w:rPr/>
      </w:pPr>
      <w:r>
        <w:rPr/>
        <w:t xml:space="preserve">L: chiều dài đường tham chiếu; </w:t>
      </w:r>
      <w:r>
        <w:rPr>
          <w:i/>
        </w:rPr>
        <w:t>κ</w:t>
      </w:r>
      <w:r>
        <w:rPr>
          <w:vertAlign w:val="subscript"/>
        </w:rPr>
        <w:t>max</w:t>
      </w:r>
      <w:r>
        <w:rPr/>
        <w:t xml:space="preserve">: độ cong tuyệt đối cực đại chưa lấy mẫu lại; D: quãng đường thực thi; </w:t>
      </w:r>
      <w:r>
        <w:rPr>
          <w:i/>
        </w:rPr>
        <w:t>e</w:t>
      </w:r>
      <w:r>
        <w:rPr>
          <w:vertAlign w:val="subscript"/>
        </w:rPr>
        <w:t>max</w:t>
      </w:r>
      <w:r>
        <w:rPr/>
        <w:t xml:space="preserve">: sai số bám đường cực đại; τ: thời lượng hậu xử lý.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VI cho thấy PSTMO có chiều dài tham chiếu và quãng đường thực thi thấp nhất. Độ cong cực đại 2,03 m⁻¹ thấp hơn cả bốn đối chứng; sai số bám cực đại 53,3 mm cũng thấp nhất. Các thay đổi này cùng xuất hiện, nên chưa thể quy riêng mức giảm thời gian cho độ cong.</w:t>
      </w:r>
    </w:p>
    <w:p>
      <w:pPr>
        <w:pStyle w:val="Normal"/>
        <w:keepNext w:val="true"/>
        <w:spacing w:before="60" w:after="0"/>
        <w:ind w:hanging="0"/>
        <w:jc w:val="center"/>
        <w:rPr/>
      </w:pPr>
      <w:r>
        <w:rPr/>
        <w:drawing>
          <wp:inline distT="0" distB="0" distL="0" distR="0">
            <wp:extent cx="3089910" cy="2972435"/>
            <wp:effectExtent l="0" t="0" r="0" b="0"/>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01: thời gian thực thi và RMSE của đủ năm phương án trên từng bộ lập kế hoạch. Các cột là một lượt thực thi, không phải trung bình nhiều lần lặp; không vẽ thanh sai số."/>
                    <pic:cNvPicPr>
                      <a:picLocks noChangeAspect="1" noChangeArrowheads="1"/>
                    </pic:cNvPicPr>
                  </pic:nvPicPr>
                  <pic:blipFill>
                    <a:blip r:embed="rId7"/>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6. R01: thời gian thực thi và RMSE của đủ năm phương án trên từng bộ lập kế hoạch. Các cột là một lượt thực thi, không phải trung bình nhiều lần lặp; không vẽ thanh sai số.</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2,659; 2,208; 2,517; 2,673; 1,613 m⁻¹; phân vị 95% của trị tuyệt đối độ giật lần lượt là 2,521; 2,428; 2,404; 2,471; 2,485 m/s³. PSTMO có </w:t>
      </w:r>
      <w:r>
        <w:rPr>
          <w:i/>
        </w:rPr>
        <w:t>E</w:t>
      </w:r>
      <w:r>
        <w:rPr>
          <w:vertAlign w:val="subscript"/>
        </w:rPr>
        <w:t>κ,exec</w:t>
      </w:r>
      <w:r>
        <w:rPr/>
        <w:t xml:space="preserve"> thấp nhất nhưng độ giật cao hơn cả ba đối chứng làm mượt. Như vậy, cải thiện hình học thực thi chưa đi kèm giảm tương ứng biến thiên gia tốc.</w:t>
      </w:r>
    </w:p>
    <w:p>
      <w:pPr>
        <w:pStyle w:val="Heading3"/>
        <w:keepNext w:val="true"/>
        <w:numPr>
          <w:ilvl w:val="0"/>
          <w:numId w:val="0"/>
        </w:numPr>
        <w:ind w:hanging="0" w:left="0"/>
        <w:rPr/>
      </w:pPr>
      <w:r>
        <w:rPr/>
        <w:t>3) Đánh đổi khoảng hở và diễn giải</w:t>
      </w:r>
    </w:p>
    <w:p>
      <w:pPr>
        <w:pStyle w:val="BodyText"/>
        <w:rPr/>
      </w:pPr>
      <w:r>
        <w:rPr/>
        <w:t>Trong năm cặp theo bộ lập kế hoạch, PSTMO nhanh hơn đường gốc, Savitzky–Golay và Constrained ở cả năm cặp; nhanh hơn Simple ở bốn cặp. Tuy nhiên, so sánh ghép cặp cho thấy RMSE tăng so với Constrained khi dùng Theta* và Smac Hybrid, lần lượt 1,87 và 0,97 mm. Như vậy, lợi thế thời gian nhất quán hơn lợi thế bám đường ở R01.</w:t>
      </w:r>
    </w:p>
    <w:p>
      <w:pPr>
        <w:pStyle w:val="BodyText"/>
        <w:rPr/>
      </w:pPr>
      <w:r>
        <w:rP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rPr/>
      </w:pPr>
      <w:r>
        <w:rPr/>
        <w:t>Thời lượng hậu xử lý của PSTMO ở R01 khoảng 0,102 s, so với 0,026 s của Constrained. Lợi ích thời gian thực thi đi kèm chi phí hậu xử lý cao hơn. Hai đại lượng có phạm vi đo riêng theo Mục III-A, nên không lấy hiệu trực tiếp để xác định mức giảm độ trễ toàn hệ thống.</w:t>
      </w:r>
    </w:p>
    <w:p>
      <w:pPr>
        <w:pStyle w:val="BodyText"/>
        <w:rPr/>
      </w:pPr>
      <w:r>
        <w:rPr/>
        <w:t>Sai số vị trí cuối trung bình của năm phương án theo thứ tự trên là 35,7; 36,1; 37,0; 33,6; 32,5 mm; sai số hướng tương ứng là 0,075; 0,083; 0,072; 0,076; 0,079 rad, chỉ tính các lượt đạt. PSTMO có sai số vị trí thấp nhất nhưng sai số hướng không thấp nhất. R01 vì vậy cho thấy lợi ích về thời gian, bám đường và vị trí dừng, đi kèm khoảng hở nhỏ hơn; chưa có ưu thế đồng thời trên mọi tiêu chí.</w:t>
      </w:r>
    </w:p>
    <w:p>
      <w:pPr>
        <w:pStyle w:val="Heading2"/>
        <w:keepNext w:val="true"/>
        <w:numPr>
          <w:ilvl w:val="0"/>
          <w:numId w:val="0"/>
        </w:numPr>
        <w:ind w:hanging="0" w:left="0"/>
        <w:rPr/>
      </w:pPr>
      <w:r>
        <w:rPr/>
        <w:t>C. R02 Di chuyển chéo dài</w:t>
      </w:r>
    </w:p>
    <w:p>
      <w:pPr>
        <w:pStyle w:val="Heading3"/>
        <w:keepNext w:val="true"/>
        <w:numPr>
          <w:ilvl w:val="0"/>
          <w:numId w:val="0"/>
        </w:numPr>
        <w:ind w:hanging="0" w:left="0"/>
        <w:rPr/>
      </w:pPr>
      <w:r>
        <w:rPr/>
        <w:t>1) Tác động của chiều dài và các đoạn thẳng</w:t>
      </w:r>
    </w:p>
    <w:p>
      <w:pPr>
        <w:pStyle w:val="BodyText"/>
        <w:rPr/>
      </w:pPr>
      <w:r>
        <w:rPr/>
        <w:t>R02 nối (−4,7; −2,8) m với (4,7; 2,8) m qua hành lang ngang, gồm các đoạn gần thẳng dài hơn R01. Tuyến này khảo sát hiệu quả hậu xử lý khi chuyển hướng chỉ chiếm một phần hành trình; thời gian toàn nhiệm vụ còn bao gồm di chuyển thẳng và tiếp cận đích.</w:t>
      </w:r>
    </w:p>
    <w:p>
      <w:pPr>
        <w:pStyle w:val="BodyText"/>
        <w:rPr/>
      </w:pPr>
      <w:r>
        <w:rPr/>
        <w:t>Hình 7 cho thấy các đường gần chồng lên nhau trên toàn tuyến nhưng tách nhau tại vùng chuyển hướng. Vì khác biệt hình học tập trung cục bộ, Bảng VII và Hình 8 được dùng để đối chiếu với kết quả thực thi trên cả năm bộ lập kế hoạch.</w:t>
      </w:r>
    </w:p>
    <w:p>
      <w:pPr>
        <w:pStyle w:val="tablehead"/>
        <w:keepNext w:val="true"/>
        <w:numPr>
          <w:ilvl w:val="0"/>
          <w:numId w:val="0"/>
        </w:numPr>
        <w:ind w:hanging="0" w:left="0"/>
        <w:rPr/>
      </w:pPr>
      <w:r>
        <w:rPr/>
        <w:t>BẢNG VII. KẾT QUẢ MÔ TẢ R02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59,57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192,21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56,40</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23,3</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59,06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21,7</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36,48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55,39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19,3</w:t>
            </w:r>
          </w:p>
        </w:tc>
      </w:tr>
    </w:tbl>
    <w:p>
      <w:pPr>
        <w:pStyle w:val="Normal"/>
        <w:keepNext w:val="true"/>
        <w:spacing w:lineRule="exact" w:line="40" w:before="0" w:after="0"/>
        <w:rPr/>
      </w:pPr>
      <w:r>
        <w:rPr/>
      </w:r>
    </w:p>
    <w:p>
      <w:pPr>
        <w:pStyle w:val="ScientificNote"/>
        <w:keepLines/>
        <w:rPr/>
      </w:pPr>
      <w:r>
        <w:rPr/>
        <w:t xml:space="preserve">T và e lấy trên lượt đạt; </w:t>
      </w:r>
      <w:r>
        <w:rPr>
          <w:i/>
        </w:rPr>
        <w:t>E</w:t>
      </w:r>
      <w:r>
        <w:rPr>
          <w:vertAlign w:val="subscript"/>
        </w:rPr>
        <w:t>κ,ref</w:t>
      </w:r>
      <w:r>
        <w:rPr/>
        <w:t xml:space="preserve"> và c lấy trên đường tham chiếu. Cả 25 lượt R02 đều đạt. Các giá trị c là trung bình của cực tiểu từng đường.</w:t>
      </w:r>
    </w:p>
    <w:p>
      <w:pPr>
        <w:pStyle w:val="Normal"/>
        <w:keepNext w:val="true"/>
        <w:spacing w:before="60" w:after="0"/>
        <w:ind w:hanging="0"/>
        <w:jc w:val="center"/>
        <w:rPr/>
      </w:pPr>
      <w:r>
        <w:rPr/>
        <w:drawing>
          <wp:inline distT="0" distB="0" distL="0" distR="0">
            <wp:extent cx="3089910" cy="3338195"/>
            <wp:effectExtent l="0" t="0" r="0" b="0"/>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02 với Theta*: đường tham chiếu toàn tuyến và vùng phóng to theo cùng quy tắc chọn vùng như R01. Trục tọa độ có đơn vị mét; tỷ lệ hiển thị toàn tuyến và vùng phóng to khác nhau."/>
                    <pic:cNvPicPr>
                      <a:picLocks noChangeAspect="1" noChangeArrowheads="1"/>
                    </pic:cNvPicPr>
                  </pic:nvPicPr>
                  <pic:blipFill>
                    <a:blip r:embed="rId8"/>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7. R02 với Theta*: đường tham chiếu toàn tuyến và vùng phóng to theo cùng quy tắc chọn vùng như R01. Trục tọa độ có đơn vị mét; tỷ lệ hiển thị toàn tuyến và vùng phóng to khác nhau.</w:t>
      </w:r>
    </w:p>
    <w:p>
      <w:pPr>
        <w:pStyle w:val="Heading3"/>
        <w:keepNext w:val="true"/>
        <w:numPr>
          <w:ilvl w:val="0"/>
          <w:numId w:val="0"/>
        </w:numPr>
        <w:ind w:hanging="0" w:left="0"/>
        <w:rPr/>
      </w:pPr>
      <w:r>
        <w:rPr/>
        <w:t>2) Hiệu quả thời gian không đồng nghĩa cải thiện mọi chỉ số</w:t>
      </w:r>
    </w:p>
    <w:p>
      <w:pPr>
        <w:pStyle w:val="BodyText"/>
        <w:rPr/>
      </w:pPr>
      <w:r>
        <w:rP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rPr/>
      </w:pPr>
      <w:r>
        <w:rP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pStyle w:val="tablehead"/>
        <w:keepNext w:val="true"/>
        <w:numPr>
          <w:ilvl w:val="0"/>
          <w:numId w:val="0"/>
        </w:numPr>
        <w:ind w:hanging="0" w:left="0"/>
        <w:rPr/>
      </w:pPr>
      <w:r>
        <w:rPr/>
        <w:t>BẢNG VIII. CHIỀU DÀI, ĐỘ CONG CỰC ĐẠI VÀ CHỈ SỐ BỔ SUNG TẠI R02</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11,970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11,847</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11,888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2,91</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11,810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49,1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11,934</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11,957</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10,27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11,846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11,816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11,763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51,5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114,0</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Trong Bảng VIII, PSTMO có đường tham chiếu và quãng đường thực thi ngắn nhất. Tuy nhiên, sai số cực đại 51,5 mm vẫn cao hơn Simple, 49,1 mm. Vì vậy, đường ngắn hơn và độ cong cực đại thấp hơn chưa đồng nghĩa bám đường chính xác hơn.</w:t>
      </w:r>
    </w:p>
    <w:p>
      <w:pPr>
        <w:pStyle w:val="Normal"/>
        <w:keepNext w:val="true"/>
        <w:spacing w:before="60" w:after="0"/>
        <w:ind w:hanging="0"/>
        <w:jc w:val="center"/>
        <w:rPr/>
      </w:pPr>
      <w:r>
        <w:rPr/>
        <w:drawing>
          <wp:inline distT="0" distB="0" distL="0" distR="0">
            <wp:extent cx="3089910" cy="2972435"/>
            <wp:effectExtent l="0" t="0" r="0" b="0"/>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02: thời gian và RMSE theo bộ lập kế hoạch. Sự khác biệt giữa hai hàng chỉ số cho phép nhận diện trường hợp nhanh hơn nhưng bám đường kém hơn; không suy ra ưu thế toàn diện từ một hàng duy nhất."/>
                    <pic:cNvPicPr>
                      <a:picLocks noChangeAspect="1" noChangeArrowheads="1"/>
                    </pic:cNvPicPr>
                  </pic:nvPicPr>
                  <pic:blipFill>
                    <a:blip r:embed="rId9"/>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BodyText"/>
        <w:rPr/>
      </w:pPr>
      <w:r>
        <w:rPr/>
        <w:t>So sánh theo bộ lập kế hoạch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2,976; 2,020; 2,761; 2,913; 1,536 m⁻¹; phân vị 95% của trị tuyệt đối độ giật lần lượt là 2,349; 2,157; 2,294; 2,276; 2,120 m/s³. PSTMO có </w:t>
      </w:r>
      <w:r>
        <w:rPr>
          <w:i/>
        </w:rPr>
        <w:t>E</w:t>
      </w:r>
      <w:r>
        <w:rPr>
          <w:vertAlign w:val="subscript"/>
        </w:rPr>
        <w:t>κ,exec</w:t>
      </w:r>
      <w:r>
        <w:rPr/>
        <w:t xml:space="preserve"> và độ giật thấp nhất, trong khi RMSE cao nhất. Các chỉ số phản ánh những khía cạnh khác nhau; chuyển động có độ giật thấp hơn vẫn có thể lệch xa đường tham chiếu hơn.</w:t>
      </w:r>
    </w:p>
    <w:p>
      <w:pPr>
        <w:pStyle w:val="Heading3"/>
        <w:keepNext w:val="true"/>
        <w:numPr>
          <w:ilvl w:val="0"/>
          <w:numId w:val="0"/>
        </w:numPr>
        <w:ind w:hanging="0" w:left="0"/>
        <w:rPr/>
      </w:pPr>
      <w:r>
        <w:rPr/>
        <w:t>3) Khoảng hở và ý nghĩa vận hành</w:t>
      </w:r>
    </w:p>
    <w:p>
      <w:pPr>
        <w:pStyle w:val="BodyText"/>
        <w:rPr/>
      </w:pPr>
      <w:r>
        <w:rP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rPr/>
      </w:pPr>
      <w:r>
        <w:rPr/>
        <w:t>Tại R02, PSTMO giảm thời gian trung bình nhưng tăng RMSE so với cả bốn đối chứng. Do đó, kết quả chưa hỗ trợ lựa chọn PSTMO nếu yêu cầu ưu tiên là sai số bám đường trung bình nhỏ nhất. Dữ liệu chưa tách được ảnh hưởng riêng của hình dạng đường và đáp ứng điều khiển.</w:t>
      </w:r>
    </w:p>
    <w:p>
      <w:pPr>
        <w:pStyle w:val="BodyText"/>
        <w:rPr/>
      </w:pPr>
      <w:r>
        <w:rPr/>
        <w:t>Sai số vị trí cuối trung bình của năm phương án theo thứ tự trên là 37,1; 36,4; 37,5; 42,4; 37,0 mm; sai số hướng tương ứng là 0,086; 0,081; 0,083; 0,074; 0,083 rad, chỉ tính các lượt đạt. PSTMO gần Simple về sai số vị trí nhưng có sai số hướng lớn hơn Constrained. Sai số cuối và RMSE phản ánh hai khía cạnh khác nhau. Trên R02, thời gian trung bình giảm nhưng sai số bám đường trung bình tăng.</w:t>
      </w:r>
    </w:p>
    <w:p>
      <w:pPr>
        <w:pStyle w:val="Heading2"/>
        <w:keepNext w:val="true"/>
        <w:numPr>
          <w:ilvl w:val="0"/>
          <w:numId w:val="0"/>
        </w:numPr>
        <w:ind w:hanging="0" w:left="0"/>
        <w:rPr/>
      </w:pPr>
      <w:r>
        <w:rPr/>
        <w:t>D. R03 Chuyển lối hình chữ U</w:t>
      </w:r>
    </w:p>
    <w:p>
      <w:pPr>
        <w:pStyle w:val="Heading3"/>
        <w:keepNext w:val="true"/>
        <w:numPr>
          <w:ilvl w:val="0"/>
          <w:numId w:val="0"/>
        </w:numPr>
        <w:ind w:hanging="0" w:left="0"/>
        <w:rPr/>
      </w:pPr>
      <w:r>
        <w:rPr/>
        <w:t>1) Chuỗi góc liên tiếp và khả năng tương thích</w:t>
      </w:r>
    </w:p>
    <w:p>
      <w:pPr>
        <w:pStyle w:val="BodyText"/>
        <w:rPr/>
      </w:pPr>
      <w:r>
        <w:rP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pStyle w:val="Normal"/>
        <w:keepNext w:val="true"/>
        <w:spacing w:before="60" w:after="0"/>
        <w:ind w:hanging="0"/>
        <w:jc w:val="center"/>
        <w:rPr/>
      </w:pPr>
      <w:r>
        <w:rPr/>
        <w:drawing>
          <wp:inline distT="0" distB="0" distL="0" distR="0">
            <wp:extent cx="3089910" cy="3338195"/>
            <wp:effectExtent l="0" t="0" r="0" b="0"/>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03 với Theta*: đường chữ U và vùng chuyển hướng được phóng to. Hình biểu diễn một bộ lập kế hoạch cố định; trường hợp không đạt ở tuyến này thuộc Smac Hybrid và được báo riêng."/>
                    <pic:cNvPicPr>
                      <a:picLocks noChangeAspect="1" noChangeArrowheads="1"/>
                    </pic:cNvPicPr>
                  </pic:nvPicPr>
                  <pic:blipFill>
                    <a:blip r:embed="rId10"/>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rPr/>
      </w:pPr>
      <w:r>
        <w:rPr/>
        <w:t>Hình 9 minh họa việc ghép các chuyển tiếp liên tiếp trên đường chữ U của Theta*. Kết quả thuộc toàn bộ PSTMO; chưa thể quy riêng cho quy hoạch động vì chưa có thí nghiệm loại bỏ thành phần.</w:t>
      </w:r>
    </w:p>
    <w:p>
      <w:pPr>
        <w:pStyle w:val="tablehead"/>
        <w:keepNext w:val="true"/>
        <w:numPr>
          <w:ilvl w:val="0"/>
          <w:numId w:val="0"/>
        </w:numPr>
        <w:ind w:hanging="0" w:left="0"/>
        <w:rPr/>
      </w:pPr>
      <w:r>
        <w:rPr/>
        <w:t>BẢNG IX. KẾT QUẢ MÔ TẢ R03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43,69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111,06</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16,5</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42,34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5,78</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43,68</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27,6</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16,54</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19,8</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44,15</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22,93</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41,94</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5,47</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18,8</w:t>
            </w:r>
          </w:p>
        </w:tc>
      </w:tr>
    </w:tbl>
    <w:p>
      <w:pPr>
        <w:pStyle w:val="Normal"/>
        <w:keepNext w:val="true"/>
        <w:spacing w:lineRule="exact" w:line="40" w:before="0" w:after="0"/>
        <w:rPr/>
      </w:pPr>
      <w:r>
        <w:rPr/>
      </w:r>
    </w:p>
    <w:p>
      <w:pPr>
        <w:pStyle w:val="ScientificNote"/>
        <w:keepLines/>
        <w:rPr/>
      </w:pPr>
      <w:r>
        <w:rPr/>
        <w:t xml:space="preserve">PSTMO có 4/5 lượt đạt; các phương án còn lại có 5/5. T và e của PSTMO chỉ lấy trên bốn lượt đạt. </w:t>
      </w:r>
      <w:r>
        <w:rPr>
          <w:i/>
        </w:rPr>
        <w:t>E</w:t>
      </w:r>
      <w:r>
        <w:rPr>
          <w:vertAlign w:val="subscript"/>
        </w:rPr>
        <w:t>κ,ref</w:t>
      </w:r>
      <w:r>
        <w:rPr/>
        <w:t xml:space="preserve"> và c vẫn lấy trên đủ năm đường; không diễn giải chênh lệch T giữa các trung bình này như một ước lượng ghép cặp.</w:t>
      </w:r>
    </w:p>
    <w:p>
      <w:pPr>
        <w:pStyle w:val="Heading3"/>
        <w:keepNext w:val="true"/>
        <w:numPr>
          <w:ilvl w:val="0"/>
          <w:numId w:val="0"/>
        </w:numPr>
        <w:ind w:hanging="0" w:left="0"/>
        <w:rPr/>
      </w:pPr>
      <w:r>
        <w:rPr/>
        <w:t>2) Thời gian thực thi và trường hợp không đạt dung sai đích</w:t>
      </w:r>
    </w:p>
    <w:p>
      <w:pPr>
        <w:pStyle w:val="BodyText"/>
        <w:rPr/>
      </w:pPr>
      <w:r>
        <w:rPr/>
        <w:t>Bảng IX ghi nhận PSTMO đạt 4/5 lượt, trong khi các phương án còn lại đạt 5/5. Thời gian trung bình của các lượt PSTMO đạt là 41,94 s; Simple đạt 42,34 s và Constrained 44,15 s. Các trung bình này dùng số lượt khác nhau. Vì vậy, so sánh ghép cặp với PSTMO chỉ dùng bốn đầu vào có cả hai phương án đạt; lượt Smac Hybrid được giữ trong tỷ lệ thành công. Bảng X bổ sung chỉ số hình học và thực thi của cả năm phương án.</w:t>
      </w:r>
    </w:p>
    <w:p>
      <w:pPr>
        <w:pStyle w:val="BodyText"/>
        <w:rPr/>
      </w:pPr>
      <w:r>
        <w:rP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pStyle w:val="Normal"/>
        <w:keepNext w:val="true"/>
        <w:spacing w:before="60" w:after="0"/>
        <w:ind w:hanging="0"/>
        <w:jc w:val="center"/>
        <w:rPr/>
      </w:pPr>
      <w:r>
        <w:rPr/>
        <w:drawing>
          <wp:inline distT="0" distB="0" distL="0" distR="0">
            <wp:extent cx="3089910" cy="2972435"/>
            <wp:effectExtent l="0" t="0" r="0" b="0"/>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03: cột gạch và dấu × đánh dấu PSTMO/Smac Hybrid không đạt. Giá trị ghi ở cột đó chỉ mô tả trạng thái kết thúc; không được tính vào trung bình hoàn thành hoặc dùng để kết luận thời gian tốt hơn."/>
                    <pic:cNvPicPr>
                      <a:picLocks noChangeAspect="1" noChangeArrowheads="1"/>
                    </pic:cNvPicPr>
                  </pic:nvPicPr>
                  <pic:blipFill>
                    <a:blip r:embed="rId11"/>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val="true"/>
        <w:numPr>
          <w:ilvl w:val="0"/>
          <w:numId w:val="0"/>
        </w:numPr>
        <w:ind w:hanging="0" w:left="0"/>
        <w:rPr/>
      </w:pPr>
      <w:r>
        <w:rPr/>
        <w:t>BẢNG X. CHIỀU DÀI, ĐỘ CONG CỰC ĐẠI VÀ CHỈ SỐ BỔ SUNG TẠI R03</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7,096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21,14</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6,898</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76,0</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7,005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6,848</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63,9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7,068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6,902</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7,109</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10,12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6,929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74,7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6,981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3,17</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6,840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62,7</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103,2</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X cho thấy chiều dài tham chiếu PSTMO ngắn nhất, nhưng độ cong cực đại 3,17 m⁻¹ cao hơn Simple, 2,89 m⁻¹. Quãng đường thực thi và sai số cực đại của PSTMO chỉ dùng bốn lượt đạt; chênh lệch với trung bình năm lượt của đối chứng cần được đọc cùng giới hạn mẫu này.</w:t>
      </w:r>
    </w:p>
    <w:p>
      <w:pPr>
        <w:pStyle w:val="BodyText"/>
        <w:rPr/>
      </w:pPr>
      <w:r>
        <w:rPr/>
        <w:t xml:space="preserve">Theo thứ tự đường gốc, Simple, Savitzky–Golay, Constrained và PSTMO, </w:t>
      </w:r>
      <w:r>
        <w:rPr>
          <w:i/>
        </w:rPr>
        <w:t>E</w:t>
      </w:r>
      <w:r>
        <w:rPr>
          <w:vertAlign w:val="subscript"/>
        </w:rPr>
        <w:t>κ,exec</w:t>
      </w:r>
      <w:r>
        <w:rPr/>
        <w:t xml:space="preserve"> lần lượt là 4,511; 4,037; 4,577; 4,659; 4,023 m⁻¹; phân vị 95% của trị tuyệt đối độ giật lần lượt là 2,533; 2,530; 2,421; 2,418; 2,540 m/s³. </w:t>
      </w:r>
      <w:r>
        <w:rPr>
          <w:i/>
        </w:rPr>
        <w:t>E</w:t>
      </w:r>
      <w:r>
        <w:rPr>
          <w:vertAlign w:val="subscript"/>
        </w:rPr>
        <w:t>κ,exec</w:t>
      </w:r>
      <w:r>
        <w:rPr/>
        <w:t xml:space="preserve"> của PSTMO gần Simple, còn độ giật cao hơn các đối chứng trên tập lượt đạt riêng. Kết quả không hỗ trợ nhận định PSTMO cải thiện đồng thời hình học và biến thiên gia tốc tại R03.</w:t>
      </w:r>
    </w:p>
    <w:p>
      <w:pPr>
        <w:pStyle w:val="Heading3"/>
        <w:keepNext w:val="true"/>
        <w:numPr>
          <w:ilvl w:val="0"/>
          <w:numId w:val="0"/>
        </w:numPr>
        <w:ind w:hanging="0" w:left="0"/>
        <w:rPr/>
      </w:pPr>
      <w:r>
        <w:rPr/>
        <w:t>3) So sánh các phương án và đánh đổi</w:t>
      </w:r>
    </w:p>
    <w:p>
      <w:pPr>
        <w:pStyle w:val="BodyText"/>
        <w:rPr/>
      </w:pPr>
      <w:r>
        <w:rP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rPr/>
      </w:pPr>
      <w:r>
        <w:rPr/>
        <w:t>Trên bốn cặp có cả hai phương án đạt, PSTMO nhanh hơn đường gốc, Savitzky–Golay và Constrained ở cả bốn cặp; nhanh hơn Simple ở ba cặp. RMSE chỉ thấp hơn Simple ở một cặp, trong khi thấp hơn Constrained ở ba cặp. Ngoại lệ khi so với Constrained là Theta*, có RMSE tăng 5,36 mm. Tốc độ hoàn thành và độ bám đường tiếp tục cho thứ hạng khác nhau.</w:t>
      </w:r>
    </w:p>
    <w:p>
      <w:pPr>
        <w:pStyle w:val="BodyText"/>
        <w:rPr/>
      </w:pPr>
      <w:r>
        <w:rPr/>
        <w:t>Khoảng hở nhỏ nhất trung bình của PSTMO là 18,8 cm, so với Constrained 21,4 cm. Lượt không đạt dung sai đích cho thấy kiểm tra hình học không thay thế đánh giá chuyển động thực. Khả năng duy trì hiệu năng khi lặp được xét riêng tại Mục III-H.</w:t>
      </w:r>
    </w:p>
    <w:p>
      <w:pPr>
        <w:pStyle w:val="BodyText"/>
        <w:rPr/>
      </w:pPr>
      <w:r>
        <w:rPr/>
        <w:t>Sai số vị trí cuối trung bình của năm phương án theo thứ tự trên là 86,8; 86,5; 82,3; 83,3; 89,6 mm; sai số hướng tương ứng là 0,080; 0,069; 0,056; 0,056; 0,039 rad, chỉ tính các lượt đạt. Trên tập lượt đạt riêng, PSTMO có sai số hướng thấp nhất nhưng sai số vị trí cao nhất. Cùng với lượt vượt dung sai, kết quả R03 cho thấy lợi ích thời gian cần được cân nhắc với yêu cầu dừng chính xác, thay vì chỉ dựa vào độ cong.</w:t>
      </w:r>
    </w:p>
    <w:p>
      <w:pPr>
        <w:pStyle w:val="Heading2"/>
        <w:keepNext w:val="true"/>
        <w:numPr>
          <w:ilvl w:val="0"/>
          <w:numId w:val="0"/>
        </w:numPr>
        <w:ind w:hanging="0" w:left="0"/>
        <w:rPr/>
      </w:pPr>
      <w:r>
        <w:rPr/>
        <w:t>E. R04 Chuyển lối chéo ngược</w:t>
      </w:r>
    </w:p>
    <w:p>
      <w:pPr>
        <w:pStyle w:val="Heading3"/>
        <w:keepNext w:val="true"/>
        <w:numPr>
          <w:ilvl w:val="0"/>
          <w:numId w:val="0"/>
        </w:numPr>
        <w:ind w:hanging="0" w:left="0"/>
        <w:rPr/>
      </w:pPr>
      <w:r>
        <w:rPr/>
        <w:t>1) Đổi chiều tiếp cận và vai trò của tư thế đích</w:t>
      </w:r>
    </w:p>
    <w:p>
      <w:pPr>
        <w:pStyle w:val="BodyText"/>
        <w:rPr/>
      </w:pPr>
      <w:r>
        <w:rPr/>
        <w:t>R04 nối (−4,6; 2,8) m với (2,0; −2,8) m và kết thúc ở hướng −π/2. Tuyến này bổ sung trường hợp tiếp cận hành lang theo chiều khác, với chuỗi chuyển hướng và tư thế đích khác R02. Kết quả mô tả toàn bộ nhiệm vụ, không tách riêng ảnh hưởng của thứ tự các góc rẽ.</w:t>
      </w:r>
    </w:p>
    <w:p>
      <w:pPr>
        <w:pStyle w:val="BodyText"/>
        <w:rPr/>
      </w:pPr>
      <w:r>
        <w:rPr/>
        <w:t>Hình 11 thể hiện khác biệt cục bộ của năm đường tham chiếu với Theta*. Bảng XI và Hình 12 mở rộng đối chiếu sang cả năm bộ lập kế hoạch, nhằm kiểm tra liệu khác biệt nhỏ trên hình toàn tuyến có đi kèm thay đổi thời gian và RMSE hay không.</w:t>
      </w:r>
    </w:p>
    <w:p>
      <w:pPr>
        <w:pStyle w:val="Normal"/>
        <w:keepNext w:val="true"/>
        <w:spacing w:before="60" w:after="0"/>
        <w:ind w:hanging="0"/>
        <w:jc w:val="center"/>
        <w:rPr/>
      </w:pPr>
      <w:r>
        <w:rPr/>
        <w:drawing>
          <wp:inline distT="0" distB="0" distL="0" distR="0">
            <wp:extent cx="3089910" cy="3338195"/>
            <wp:effectExtent l="0" t="0" r="0" b="0"/>
            <wp:docPr id="11" name="Picture 11" descr="R04 với Theta*: toàn tuyến chéo ngược và vùng phóng to. Việc đảo chiều tiếp cận không làm tuyến này trở thành bản sao đối xứng của 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04 với Theta*: toàn tuyến chéo ngược và vùng phóng to. Việc đảo chiều tiếp cận không làm tuyến này trở thành bản sao đối xứng của R02."/>
                    <pic:cNvPicPr>
                      <a:picLocks noChangeAspect="1" noChangeArrowheads="1"/>
                    </pic:cNvPicPr>
                  </pic:nvPicPr>
                  <pic:blipFill>
                    <a:blip r:embed="rId12"/>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11. R04 với Theta*: toàn tuyến chéo ngược và vùng phóng to. Việc đảo chiều tiếp cận không làm tuyến này trở thành bản sao đối xứng của R02.</w:t>
      </w:r>
    </w:p>
    <w:p>
      <w:pPr>
        <w:pStyle w:val="tablehead"/>
        <w:keepNext w:val="true"/>
        <w:numPr>
          <w:ilvl w:val="0"/>
          <w:numId w:val="0"/>
        </w:numPr>
        <w:ind w:hanging="0" w:left="0"/>
        <w:rPr/>
      </w:pPr>
      <w:r>
        <w:rPr/>
        <w:t>BẢNG XI. KẾT QUẢ MÔ TẢ R04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52,12</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31,3</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83,51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15,8</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49,06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5,99</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50,46</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28,8</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18,00</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20,3</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50,83</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30,9</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28,31</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21,6</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47,71</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2,89</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19,3</w:t>
            </w:r>
          </w:p>
        </w:tc>
      </w:tr>
    </w:tbl>
    <w:p>
      <w:pPr>
        <w:pStyle w:val="Normal"/>
        <w:keepNext w:val="true"/>
        <w:spacing w:lineRule="exact" w:line="40" w:before="0" w:after="0"/>
        <w:rPr/>
      </w:pPr>
      <w:r>
        <w:rPr/>
      </w:r>
    </w:p>
    <w:p>
      <w:pPr>
        <w:pStyle w:val="ScientificNote"/>
        <w:keepLines/>
        <w:rPr/>
      </w:pPr>
      <w:r>
        <w:rPr/>
        <w:t xml:space="preserve">Đường gốc có 4/5 lượt đạt; bốn phương án hậu xử lý có 5/5. T và e của đường gốc dùng bốn lượt đạt, còn </w:t>
      </w:r>
      <w:r>
        <w:rPr>
          <w:i/>
        </w:rPr>
        <w:t>E</w:t>
      </w:r>
      <w:r>
        <w:rPr>
          <w:vertAlign w:val="subscript"/>
        </w:rPr>
        <w:t>κ,ref</w:t>
      </w:r>
      <w:r>
        <w:rPr/>
        <w:t xml:space="preserve"> và c vẫn dùng đủ năm đường. So sánh PSTMO–Constrained không bị thiếu cặp ở R04.</w:t>
      </w:r>
    </w:p>
    <w:p>
      <w:pPr>
        <w:pStyle w:val="Heading3"/>
        <w:keepNext w:val="true"/>
        <w:numPr>
          <w:ilvl w:val="0"/>
          <w:numId w:val="0"/>
        </w:numPr>
        <w:ind w:hanging="0" w:left="0"/>
        <w:rPr/>
      </w:pPr>
      <w:r>
        <w:rPr/>
        <w:t>2) Kết quả thời gian và bám đường</w:t>
      </w:r>
    </w:p>
    <w:p>
      <w:pPr>
        <w:pStyle w:val="BodyText"/>
        <w:rPr/>
      </w:pPr>
      <w:r>
        <w:rP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rPr/>
      </w:pPr>
      <w:r>
        <w:rP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pStyle w:val="Normal"/>
        <w:keepNext w:val="true"/>
        <w:spacing w:before="60" w:after="0"/>
        <w:ind w:hanging="0"/>
        <w:jc w:val="center"/>
        <w:rPr/>
      </w:pPr>
      <w:r>
        <w:rPr/>
        <w:drawing>
          <wp:inline distT="0" distB="0" distL="0" distR="0">
            <wp:extent cx="3089910" cy="2972435"/>
            <wp:effectExtent l="0" t="0" r="0" b="0"/>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pic:cNvPicPr>
                      <a:picLocks noChangeAspect="1" noChangeArrowheads="1"/>
                    </pic:cNvPicPr>
                  </pic:nvPicPr>
                  <pic:blipFill>
                    <a:blip r:embed="rId13"/>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val="true"/>
        <w:numPr>
          <w:ilvl w:val="0"/>
          <w:numId w:val="0"/>
        </w:numPr>
        <w:ind w:hanging="0" w:left="0"/>
        <w:rPr/>
      </w:pPr>
      <w:r>
        <w:rPr/>
        <w:t>BẢNG XII. CHIỀU DÀI, ĐỘ CONG CỰC ĐẠI VÀ CHỈ SỐ BỔ SUNG TẠI R04</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9,737</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19,98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9,595</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64,9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9,662</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2,80</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9,531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57,4</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9,716</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5,94</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9,564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9,753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8,42</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9,576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65,3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29,4</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9,618</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2,29</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9,491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52,3</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93,6</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Bảng XII cho thấy PSTMO có chiều dài tham chiếu và độ cong cực đại thấp nhất. Trong bốn phương án làm mượt đều đạt 5/5 lượt, PSTMO cũng có quãng đường thực thi và sai số cực đại nhỏ nhất. Kết quả củng cố nhận xét về bám đường, nhưng chưa phản ánh độ chính xác cuối.</w:t>
      </w:r>
    </w:p>
    <w:p>
      <w:pPr>
        <w:pStyle w:val="BodyText"/>
        <w:rPr/>
      </w:pPr>
      <w:r>
        <w:rPr/>
        <w:t xml:space="preserve">Theo thứ tự đường gốc, Simple, Savitzky–Golay, Constrained và PSTMO, </w:t>
      </w:r>
      <w:r>
        <w:rPr>
          <w:i/>
        </w:rPr>
        <w:t>E</w:t>
      </w:r>
      <w:r>
        <w:rPr>
          <w:vertAlign w:val="subscript"/>
        </w:rPr>
        <w:t>κ,exec</w:t>
      </w:r>
      <w:r>
        <w:rPr/>
        <w:t xml:space="preserve"> lần lượt là 3,607; 2,681; 3,140; 3,283; 2,049 m⁻¹; phân vị 95% của trị tuyệt đối độ giật lần lượt là 2,374; 2,265; 2,335; 2,325; 2,271 m/s³. PSTMO có </w:t>
      </w:r>
      <w:r>
        <w:rPr>
          <w:i/>
        </w:rPr>
        <w:t>E</w:t>
      </w:r>
      <w:r>
        <w:rPr>
          <w:vertAlign w:val="subscript"/>
        </w:rPr>
        <w:t>κ,exec</w:t>
      </w:r>
      <w:r>
        <w:rPr/>
        <w:t xml:space="preserve"> thấp nhất, nhưng độ giật 2,271 m/s³ nhỉnh hơn Simple, 2,265 m/s³. Chênh lệch nhỏ này chỉ là mô tả một lượt mỗi đầu vào, chưa xác định khác biệt có tính lặp lại.</w:t>
      </w:r>
    </w:p>
    <w:p>
      <w:pPr>
        <w:pStyle w:val="BodyText"/>
        <w:rPr/>
      </w:pPr>
      <w:r>
        <w:rPr/>
        <w:t>So sánh theo bộ lập kế hoạch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Heading3"/>
        <w:keepNext w:val="true"/>
        <w:numPr>
          <w:ilvl w:val="0"/>
          <w:numId w:val="0"/>
        </w:numPr>
        <w:ind w:hanging="0" w:left="0"/>
        <w:rPr/>
      </w:pPr>
      <w:r>
        <w:rPr/>
        <w:t>3) Trường hợp sát ngưỡng và tiêu chí hoàn thành</w:t>
      </w:r>
    </w:p>
    <w:p>
      <w:pPr>
        <w:pStyle w:val="BodyText"/>
        <w:rPr/>
      </w:pPr>
      <w:r>
        <w:rP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rPr/>
      </w:pPr>
      <w:r>
        <w:rPr/>
        <w:t>Hai trường hợp sát ngưỡng ở R03 và R04 cho thấy cần báo sai số liên tục bên cạnh tỷ lệ hoàn thành. Dữ liệu xác định được mức vượt dung sai nhưng chưa đủ để quy nguyên nhân cho hình dạng đường hoặc một thành phần điều khiển riêng.</w:t>
      </w:r>
    </w:p>
    <w:p>
      <w:pPr>
        <w:pStyle w:val="BodyText"/>
        <w:rPr/>
      </w:pPr>
      <w:r>
        <w:rPr/>
        <w:t>Sai số vị trí cuối trung bình của năm phương án theo thứ tự trên là 82,6; 85,2; 81,8; 85,6; 87,4 mm; sai số hướng tương ứng là 0,075; 0,066; 0,065; 0,067; 0,076 rad, chỉ tính các lượt đạt. PSTMO có cả hai sai số cuối lớn nhất trên tập lượt đạt riêng. R04 cho thấy giảm thời gian và sai số bám đường không bảo đảm cải thiện độ chính xác dừng, dù cả năm lượt PSTMO đều hoàn thành.</w:t>
      </w:r>
    </w:p>
    <w:p>
      <w:pPr>
        <w:pStyle w:val="Heading2"/>
        <w:keepNext w:val="true"/>
        <w:numPr>
          <w:ilvl w:val="0"/>
          <w:numId w:val="0"/>
        </w:numPr>
        <w:ind w:hanging="0" w:left="0"/>
        <w:rPr/>
      </w:pPr>
      <w:r>
        <w:rPr/>
        <w:t>F. R05 Rẽ từ hành lang ngang vào hành lang dọc</w:t>
      </w:r>
    </w:p>
    <w:p>
      <w:pPr>
        <w:pStyle w:val="Heading3"/>
        <w:keepNext w:val="true"/>
        <w:numPr>
          <w:ilvl w:val="0"/>
          <w:numId w:val="0"/>
        </w:numPr>
        <w:ind w:hanging="0" w:left="0"/>
        <w:rPr/>
      </w:pPr>
      <w:r>
        <w:rPr/>
        <w:t>1) Nhiệm vụ ngắn với chuyển hướng tập trung</w:t>
      </w:r>
    </w:p>
    <w:p>
      <w:pPr>
        <w:pStyle w:val="BodyText"/>
        <w:rPr/>
      </w:pPr>
      <w:r>
        <w:rP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rPr/>
      </w:pPr>
      <w:r>
        <w:rPr/>
        <w:t>Hình 13 minh họa đường tham chiếu theo quy tắc chọn vùng tại R01; Bảng XIII và Hình 14 đối chiếu cả năm bộ lập kế hoạch. Toàn bộ 25 lượt khảo sát R05 đều đạt, nhưng kết quả này không thay thế kiểm chứng lặp tại Mục III-H.</w:t>
      </w:r>
    </w:p>
    <w:p>
      <w:pPr>
        <w:pStyle w:val="tablehead"/>
        <w:keepNext w:val="true"/>
        <w:numPr>
          <w:ilvl w:val="0"/>
          <w:numId w:val="0"/>
        </w:numPr>
        <w:ind w:hanging="0" w:left="0"/>
        <w:rPr/>
      </w:pPr>
      <w:r>
        <w:rPr/>
        <w:t>BẢNG XIII. KẾT QUẢ MÔ TẢ R05 TRÊN NĂM BỘ LẬP KẾ HOẠCH</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094"/>
        <w:gridCol w:w="474"/>
        <w:gridCol w:w="705"/>
        <w:gridCol w:w="735"/>
        <w:gridCol w:w="1136"/>
        <w:gridCol w:w="720"/>
      </w:tblGrid>
      <w:tr>
        <w:trPr>
          <w:tblHeader w:val="true"/>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 (cm)</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40,27</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21,2</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141,50</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18,7</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38,25</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23,0</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12,25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21,2</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40,02</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22,1</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32,12</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20,9</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39,33</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25,35</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22,2</w:t>
            </w:r>
          </w:p>
        </w:tc>
      </w:tr>
      <w:tr>
        <w:trPr>
          <w:cantSplit w:val="true"/>
        </w:trPr>
        <w:tc>
          <w:tcPr>
            <w:tcW w:w="10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4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w:t>
            </w:r>
          </w:p>
        </w:tc>
        <w:tc>
          <w:tcPr>
            <w:tcW w:w="70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37,69</w:t>
            </w:r>
          </w:p>
        </w:tc>
        <w:tc>
          <w:tcPr>
            <w:tcW w:w="7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w:t>
            </w:r>
          </w:p>
        </w:tc>
        <w:tc>
          <w:tcPr>
            <w:tcW w:w="11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2,44</w:t>
            </w:r>
          </w:p>
        </w:tc>
        <w:tc>
          <w:tcPr>
            <w:tcW w:w="7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20,8</w:t>
            </w:r>
          </w:p>
        </w:tc>
      </w:tr>
    </w:tbl>
    <w:p>
      <w:pPr>
        <w:pStyle w:val="Normal"/>
        <w:keepNext w:val="true"/>
        <w:spacing w:lineRule="exact" w:line="40" w:before="0" w:after="0"/>
        <w:rPr/>
      </w:pPr>
      <w:r>
        <w:rPr/>
      </w:r>
    </w:p>
    <w:p>
      <w:pPr>
        <w:pStyle w:val="ScientificNote"/>
        <w:keepLines/>
        <w:rPr/>
      </w:pPr>
      <w:r>
        <w:rPr/>
        <w:t xml:space="preserve">Cả 25 lượt của ma trận khảo sát R05 đều đạt. </w:t>
      </w:r>
      <w:r>
        <w:rPr>
          <w:i/>
        </w:rPr>
        <w:t>E</w:t>
      </w:r>
      <w:r>
        <w:rPr>
          <w:vertAlign w:val="subscript"/>
        </w:rPr>
        <w:t>κ,ref</w:t>
      </w:r>
      <w:r>
        <w:rPr/>
        <w:t xml:space="preserve"> và c là chỉ số đường tham chiếu; T và e là chỉ số thực thi. Kết quả này không được thay thế cho tỷ lệ thành công của bộ thử nghiệm lặp.</w:t>
      </w:r>
    </w:p>
    <w:p>
      <w:pPr>
        <w:pStyle w:val="Heading3"/>
        <w:keepNext w:val="true"/>
        <w:numPr>
          <w:ilvl w:val="0"/>
          <w:numId w:val="0"/>
        </w:numPr>
        <w:ind w:hanging="0" w:left="0"/>
        <w:rPr/>
      </w:pPr>
      <w:r>
        <w:rPr/>
        <w:t>2) So sánh thời gian và chất lượng đường</w:t>
      </w:r>
    </w:p>
    <w:p>
      <w:pPr>
        <w:pStyle w:val="BodyText"/>
        <w:rPr/>
      </w:pPr>
      <w:r>
        <w:rP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pStyle w:val="BodyText"/>
        <w:rPr/>
      </w:pPr>
      <w:r>
        <w:rPr/>
        <w:t xml:space="preserve">Tích phân bình phương độ cong của PSTMO là 2,44 m⁻¹, so với Constrained 25,35 m⁻¹ và đường gốc 141,50 m⁻¹. Tỷ lệ giảm </w:t>
      </w:r>
      <w:r>
        <w:rPr>
          <w:i/>
        </w:rPr>
        <w:t>E</w:t>
      </w:r>
      <w:r>
        <w:rPr>
          <w:vertAlign w:val="subscript"/>
        </w:rPr>
        <w:t>κ,ref</w:t>
      </w:r>
      <w:r>
        <w:rP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val="true"/>
        <w:numPr>
          <w:ilvl w:val="0"/>
          <w:numId w:val="0"/>
        </w:numPr>
        <w:ind w:hanging="0" w:left="0"/>
        <w:rPr/>
      </w:pPr>
      <w:r>
        <w:rPr/>
        <w:t>BẢNG XIV. CHIỀU DÀI, ĐỘ CONG CỰC ĐẠI VÀ CHỈ SỐ BỔ SUNG TẠI R05</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691"/>
        <w:gridCol w:w="835"/>
        <w:gridCol w:w="691"/>
        <w:gridCol w:w="793"/>
        <w:gridCol w:w="733"/>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L (m)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max</w:t>
            </w:r>
            <w:r>
              <w:rPr>
                <w:b/>
              </w:rPr>
              <w:t xml:space="preserve"> (m⁻¹)</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 (m)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max</w:t>
            </w:r>
            <w:r>
              <w:rPr>
                <w:b/>
              </w:rPr>
              <w:t xml:space="preserve"> (mm)</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6,983</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23,51</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6,863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54,9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6,920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9,58</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6,820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58,9</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6,960</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16,15</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6,861</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59,5</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6,975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11,56</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6,853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22,2</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6,871</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2,13</w:t>
            </w:r>
          </w:p>
        </w:tc>
        <w:tc>
          <w:tcPr>
            <w:tcW w:w="6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6,796</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50,1</w:t>
            </w:r>
          </w:p>
        </w:tc>
        <w:tc>
          <w:tcPr>
            <w:tcW w:w="73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77,4</w:t>
            </w:r>
          </w:p>
        </w:tc>
      </w:tr>
    </w:tbl>
    <w:p>
      <w:pPr>
        <w:pStyle w:val="Normal"/>
        <w:keepNext w:val="true"/>
        <w:spacing w:lineRule="exact" w:line="40" w:before="0" w:after="0"/>
        <w:rPr/>
      </w:pPr>
      <w:r>
        <w:rPr/>
      </w:r>
    </w:p>
    <w:p>
      <w:pPr>
        <w:pStyle w:val="ScientificNote"/>
        <w:keepLines/>
        <w:rPr/>
      </w:pPr>
      <w:r>
        <w:rPr/>
        <w:t xml:space="preserve">Ký hiệu như Bảng VI. L, </w:t>
      </w:r>
      <w:r>
        <w:rPr>
          <w:i/>
        </w:rPr>
        <w:t>κ</w:t>
      </w:r>
      <w:r>
        <w:rPr>
          <w:vertAlign w:val="subscript"/>
        </w:rPr>
        <w:t>max</w:t>
      </w:r>
      <w:r>
        <w:rPr/>
        <w:t xml:space="preserve"> và τ dùng năm lượt; D và </w:t>
      </w:r>
      <w:r>
        <w:rPr>
          <w:i/>
        </w:rPr>
        <w:t>e</w:t>
      </w:r>
      <w:r>
        <w:rPr>
          <w:vertAlign w:val="subscript"/>
        </w:rPr>
        <w:t>max</w:t>
      </w:r>
      <w:r>
        <w:rPr/>
        <w:t xml:space="preserve"> chỉ dùng lượt đạt.</w:t>
      </w:r>
    </w:p>
    <w:p>
      <w:pPr>
        <w:pStyle w:val="BodyText"/>
        <w:rPr/>
      </w:pPr>
      <w:r>
        <w:rPr/>
        <w:t>Trong Bảng XIV, PSTMO có đường tham chiếu, quãng đường thực thi và sai số cực đại thấp nhất trên cùng năm đầu vào. Tuy vậy, thời lượng xử lý 77,4 ms cao hơn Constrained, 22,2 ms, và Simple, 1,8 ms. Lợi ích khi di chuyển đi kèm chi phí hậu xử lý cao hơn.</w:t>
      </w:r>
    </w:p>
    <w:p>
      <w:pPr>
        <w:pStyle w:val="Normal"/>
        <w:keepNext w:val="true"/>
        <w:spacing w:before="60" w:after="0"/>
        <w:ind w:hanging="0"/>
        <w:jc w:val="center"/>
        <w:rPr/>
      </w:pPr>
      <w:r>
        <w:rPr/>
        <w:drawing>
          <wp:inline distT="0" distB="0" distL="0" distR="0">
            <wp:extent cx="3089910" cy="3338195"/>
            <wp:effectExtent l="0" t="0" r="0" b="0"/>
            <wp:docPr id="13" name="Picture 13" descr="R05 với Theta*: rẽ từ hành lang ngang vào hành lang dọc. Hình sử dụng ma trận khảo sát một lượt; các thất bại của bộ thử nghiệm lặp được báo riêng ở Mục I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05 với Theta*: rẽ từ hành lang ngang vào hành lang dọc. Hình sử dụng ma trận khảo sát một lượt; các thất bại của bộ thử nghiệm lặp được báo riêng ở Mục III-I."/>
                    <pic:cNvPicPr>
                      <a:picLocks noChangeAspect="1" noChangeArrowheads="1"/>
                    </pic:cNvPicPr>
                  </pic:nvPicPr>
                  <pic:blipFill>
                    <a:blip r:embed="rId14"/>
                    <a:stretch>
                      <a:fillRect/>
                    </a:stretch>
                  </pic:blipFill>
                  <pic:spPr bwMode="auto">
                    <a:xfrm>
                      <a:off x="0" y="0"/>
                      <a:ext cx="3089910" cy="3338195"/>
                    </a:xfrm>
                    <a:prstGeom prst="rect">
                      <a:avLst/>
                    </a:prstGeom>
                  </pic:spPr>
                </pic:pic>
              </a:graphicData>
            </a:graphic>
          </wp:inline>
        </w:drawing>
      </w:r>
    </w:p>
    <w:p>
      <w:pPr>
        <w:pStyle w:val="figurecaption"/>
        <w:keepNext w:val="false"/>
        <w:keepLines/>
        <w:numPr>
          <w:ilvl w:val="0"/>
          <w:numId w:val="0"/>
        </w:numPr>
        <w:ind w:hanging="0" w:left="0"/>
        <w:rPr/>
      </w:pPr>
      <w:r>
        <w:rPr/>
        <w:t>Hình 13. R05 với Theta*: rẽ từ hành lang ngang vào hành lang dọc. Hình sử dụng ma trận khảo sát một lượt; các thất bại của bộ thử nghiệm lặp được báo riêng ở Mục III-I.</w:t>
      </w:r>
    </w:p>
    <w:p>
      <w:pPr>
        <w:pStyle w:val="BodyText"/>
        <w:rPr/>
      </w:pPr>
      <w:r>
        <w:rPr/>
        <w:t xml:space="preserve">Theo thứ tự đường gốc, Simple, Savitzky–Golay, Constrained và PSTMO, </w:t>
      </w:r>
      <w:r>
        <w:rPr>
          <w:i/>
        </w:rPr>
        <w:t>E</w:t>
      </w:r>
      <w:r>
        <w:rPr>
          <w:vertAlign w:val="subscript"/>
        </w:rPr>
        <w:t>κ,exec</w:t>
      </w:r>
      <w:r>
        <w:rPr/>
        <w:t xml:space="preserve"> lần lượt là 2,864; 2,117; 2,587; 2,545; 1,900 m⁻¹; phân vị 95% của trị tuyệt đối độ giật lần lượt là 2,364; 2,425; 2,432; 2,384; 2,331 m/s³. PSTMO có </w:t>
      </w:r>
      <w:r>
        <w:rPr>
          <w:i/>
        </w:rPr>
        <w:t>E</w:t>
      </w:r>
      <w:r>
        <w:rPr>
          <w:vertAlign w:val="subscript"/>
        </w:rPr>
        <w:t>κ,exec</w:t>
      </w:r>
      <w:r>
        <w:rPr/>
        <w:t xml:space="preserve"> và độ giật thấp nhất trên tuyến này. Khác R01 và R03, cải thiện hình học thực thi đi kèm giảm chỉ số biến thiên gia tốc, nhưng vẫn cần đánh giá riêng việc dừng tại đích.</w:t>
      </w:r>
    </w:p>
    <w:p>
      <w:pPr>
        <w:pStyle w:val="Heading3"/>
        <w:keepNext w:val="true"/>
        <w:numPr>
          <w:ilvl w:val="0"/>
          <w:numId w:val="0"/>
        </w:numPr>
        <w:ind w:hanging="0" w:left="0"/>
        <w:rPr/>
      </w:pPr>
      <w:r>
        <w:rPr/>
        <w:t>3) Khoảng hở và độ chính xác cuối</w:t>
      </w:r>
    </w:p>
    <w:p>
      <w:pPr>
        <w:pStyle w:val="BodyText"/>
        <w:rPr/>
      </w:pPr>
      <w:r>
        <w:rPr/>
        <w:t>So sánh theo bộ lập kế hoạch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pStyle w:val="Normal"/>
        <w:keepNext w:val="true"/>
        <w:spacing w:before="60" w:after="0"/>
        <w:ind w:hanging="0"/>
        <w:jc w:val="center"/>
        <w:rPr/>
      </w:pPr>
      <w:r>
        <w:rPr/>
        <w:drawing>
          <wp:inline distT="0" distB="0" distL="0" distR="0">
            <wp:extent cx="3089910" cy="2972435"/>
            <wp:effectExtent l="0" t="0" r="0" b="0"/>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05: kết quả một lượt cho từng tổ hợp bộ lập kế hoạch–phương án. Tất cả các lượt trong hình đều đạt, nhưng điều đó chưa mô tả tính lặp lại của nhiệm vụ."/>
                    <pic:cNvPicPr>
                      <a:picLocks noChangeAspect="1" noChangeArrowheads="1"/>
                    </pic:cNvPicPr>
                  </pic:nvPicPr>
                  <pic:blipFill>
                    <a:blip r:embed="rId15"/>
                    <a:stretch>
                      <a:fillRect/>
                    </a:stretch>
                  </pic:blipFill>
                  <pic:spPr bwMode="auto">
                    <a:xfrm>
                      <a:off x="0" y="0"/>
                      <a:ext cx="3089910" cy="2972435"/>
                    </a:xfrm>
                    <a:prstGeom prst="rect">
                      <a:avLst/>
                    </a:prstGeom>
                  </pic:spPr>
                </pic:pic>
              </a:graphicData>
            </a:graphic>
          </wp:inline>
        </w:drawing>
      </w:r>
    </w:p>
    <w:p>
      <w:pPr>
        <w:pStyle w:val="figurecaption"/>
        <w:keepNext w:val="false"/>
        <w:keepLines/>
        <w:numPr>
          <w:ilvl w:val="0"/>
          <w:numId w:val="0"/>
        </w:numPr>
        <w:ind w:hanging="0" w:left="0"/>
        <w:rPr/>
      </w:pPr>
      <w:r>
        <w:rPr/>
        <w:t>Hình 14. R05: kết quả một lượt cho từng tổ hợp bộ lập kế hoạch–phương án. Tất cả các lượt trong hình đều đạt, nhưng điều đó chưa mô tả tính lặp lại của nhiệm vụ.</w:t>
      </w:r>
    </w:p>
    <w:p>
      <w:pPr>
        <w:pStyle w:val="BodyText"/>
        <w:rPr/>
      </w:pPr>
      <w:r>
        <w:rP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rPr/>
      </w:pPr>
      <w:r>
        <w:rPr/>
        <w:t>Sai số vị trí cuối trung bình của năm phương án theo thứ tự trên là 40,3; 45,6; 38,3; 44,8; 46,5 mm; sai số hướng tương ứng là 0,081; 0,079; 0,077; 0,063; 0,063 rad, chỉ tính các lượt đạt. PSTMO có sai số vị trí cao nhất; sai số hướng gần Constrained ở độ chính xác báo cáo. Lợi ích thời gian và bám đường tại R05 vì vậy không đồng nghĩa sai số vị trí cuối nhỏ hơn; độ tin cậy cần được đối chiếu thêm với bộ lặp.</w:t>
      </w:r>
    </w:p>
    <w:p>
      <w:pPr>
        <w:pStyle w:val="Heading2"/>
        <w:keepNext w:val="true"/>
        <w:numPr>
          <w:ilvl w:val="0"/>
          <w:numId w:val="0"/>
        </w:numPr>
        <w:ind w:hanging="0" w:left="0"/>
        <w:rPr/>
      </w:pPr>
      <w:r>
        <w:rPr/>
        <w:t>G. Tổng hợp so sánh năm phương án</w:t>
      </w:r>
    </w:p>
    <w:p>
      <w:pPr>
        <w:pStyle w:val="Heading3"/>
        <w:keepNext w:val="true"/>
        <w:numPr>
          <w:ilvl w:val="0"/>
          <w:numId w:val="0"/>
        </w:numPr>
        <w:ind w:hanging="0" w:left="0"/>
        <w:rPr/>
      </w:pPr>
      <w:r>
        <w:rPr/>
        <w:t>1) Kết quả chung và điều kiện ghép cặp</w:t>
      </w:r>
    </w:p>
    <w:p>
      <w:pPr>
        <w:pStyle w:val="BodyText"/>
        <w:rPr/>
      </w:pPr>
      <w:r>
        <w:rPr/>
        <w:t>Ma trận khảo sát có 123/125 lượt hoàn thành. Bảng XV cho thấy PSTMO có thời gian, RMSE và tích phân bình phương độ cong tham chiếu trung bình thấp nhất. Tuy nhiên, thời gian và RMSE dùng tập lượt đạt riêng của mỗi phương án, nên hiệu giữa hai trung bình chưa phải chênh lệch trên cùng một tập đầu vào.</w:t>
      </w:r>
    </w:p>
    <w:p>
      <w:pPr>
        <w:pStyle w:val="tablehead"/>
        <w:keepNext w:val="true"/>
        <w:numPr>
          <w:ilvl w:val="0"/>
          <w:numId w:val="0"/>
        </w:numPr>
        <w:ind w:hanging="0" w:left="0"/>
        <w:rPr/>
      </w:pPr>
      <w:r>
        <w:rPr/>
        <w:t>BẢNG XV. TỔNG HỢP MÔ TẢ MA TRẬN 125 LƯỢT</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81"/>
        <w:gridCol w:w="648"/>
        <w:gridCol w:w="835"/>
        <w:gridCol w:w="878"/>
        <w:gridCol w:w="1325"/>
      </w:tblGrid>
      <w:tr>
        <w:trPr>
          <w:tblHeader w:val="true"/>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Đạt</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 (s)</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e (mm)</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κ,ref</w:t>
            </w:r>
            <w:r>
              <w:rPr>
                <w:b/>
              </w:rPr>
              <w:t xml:space="preserve"> (m⁻¹)</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47,65</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25,1</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134,91</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45,51</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24,5</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8,74</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47,08</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24,7</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24,63</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47,32</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26,1</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26,34</w:t>
            </w:r>
          </w:p>
        </w:tc>
      </w:tr>
      <w:tr>
        <w:trPr>
          <w:cantSplit w:val="true"/>
        </w:trPr>
        <w:tc>
          <w:tcPr>
            <w:tcW w:w="118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6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24/25</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44,60</w:t>
            </w:r>
          </w:p>
        </w:tc>
        <w:tc>
          <w:tcPr>
            <w:tcW w:w="87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23,6</w:t>
            </w:r>
          </w:p>
        </w:tc>
        <w:tc>
          <w:tcPr>
            <w:tcW w:w="132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3,13</w:t>
            </w:r>
          </w:p>
        </w:tc>
      </w:tr>
    </w:tbl>
    <w:p>
      <w:pPr>
        <w:pStyle w:val="Normal"/>
        <w:keepNext w:val="true"/>
        <w:spacing w:lineRule="exact" w:line="40" w:before="0" w:after="0"/>
        <w:rPr/>
      </w:pPr>
      <w:r>
        <w:rPr/>
      </w:r>
    </w:p>
    <w:p>
      <w:pPr>
        <w:pStyle w:val="ScientificNote"/>
        <w:keepLines/>
        <w:rPr/>
      </w:pPr>
      <w:r>
        <w:rPr/>
        <w:t xml:space="preserve">T và e lấy trên 24 lượt đạt của đường gốc/PSTMO và 25 lượt đạt của mỗi phương án còn lại. </w:t>
      </w:r>
      <w:r>
        <w:rPr>
          <w:i/>
        </w:rPr>
        <w:t>E</w:t>
      </w:r>
      <w:r>
        <w:rPr>
          <w:vertAlign w:val="subscript"/>
        </w:rPr>
        <w:t>κ,ref</w:t>
      </w:r>
      <w:r>
        <w:rPr/>
        <w:t xml:space="preserve"> dùng toàn bộ 25 đường mỗi phương án. Năm bộ lập kế hoạch là năm đầu vào khác nhau, không phải năm lần lặp.</w:t>
      </w:r>
    </w:p>
    <w:p>
      <w:pPr>
        <w:pStyle w:val="Normal"/>
        <w:keepNext w:val="true"/>
        <w:spacing w:before="60" w:after="0"/>
        <w:ind w:hanging="0"/>
        <w:jc w:val="center"/>
        <w:rPr/>
      </w:pPr>
      <w:r>
        <w:rPr/>
        <w:drawing>
          <wp:inline distT="0" distB="0" distL="0" distR="0">
            <wp:extent cx="3089910" cy="3658870"/>
            <wp:effectExtent l="0" t="0" r="0" b="0"/>
            <wp:doc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pic:cNvPicPr>
                      <a:picLocks noChangeAspect="1" noChangeArrowheads="1"/>
                    </pic:cNvPicPr>
                  </pic:nvPicPr>
                  <pic:blipFill>
                    <a:blip r:embed="rId16"/>
                    <a:stretch>
                      <a:fillRect/>
                    </a:stretch>
                  </pic:blipFill>
                  <pic:spPr bwMode="auto">
                    <a:xfrm>
                      <a:off x="0" y="0"/>
                      <a:ext cx="3089910" cy="3658870"/>
                    </a:xfrm>
                    <a:prstGeom prst="rect">
                      <a:avLst/>
                    </a:prstGeom>
                  </pic:spPr>
                </pic:pic>
              </a:graphicData>
            </a:graphic>
          </wp:inline>
        </w:drawing>
      </w:r>
    </w:p>
    <w:p>
      <w:pPr>
        <w:pStyle w:val="figurecaption"/>
        <w:keepNext w:val="false"/>
        <w:keepLines/>
        <w:numPr>
          <w:ilvl w:val="0"/>
          <w:numId w:val="0"/>
        </w:numPr>
        <w:ind w:hanging="0" w:left="0"/>
        <w:rPr/>
      </w:pPr>
      <w:r>
        <w:rPr/>
        <w:t>Hình 15. 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w:t>
      </w:r>
    </w:p>
    <w:p>
      <w:pPr>
        <w:pStyle w:val="BodyText"/>
        <w:rPr/>
      </w:pPr>
      <w:r>
        <w:rPr/>
        <w:t xml:space="preserve">Bảng XVI ghép PSTMO với từng đối chứng cùng tuyến và bộ lập kế hoạch, chỉ giữ cặp cùng hoàn thành. Có 23 cặp với đường gốc và 24 cặp với mỗi phương án làm mượt. PSTMO giảm thời gian, RMSE và </w:t>
      </w:r>
      <w:r>
        <w:rPr>
          <w:i/>
        </w:rPr>
        <w:t>E</w:t>
      </w:r>
      <w:r>
        <w:rPr>
          <w:vertAlign w:val="subscript"/>
        </w:rPr>
        <w:t>κ,exec</w:t>
      </w:r>
      <w:r>
        <w:rPr/>
        <w:t xml:space="preserve"> trung bình trên các cặp này; mức giảm thời gian nhỏ nhất khi so với Simple.</w:t>
      </w:r>
    </w:p>
    <w:p>
      <w:pPr>
        <w:pStyle w:val="tablehead"/>
        <w:keepNext w:val="true"/>
        <w:numPr>
          <w:ilvl w:val="0"/>
          <w:numId w:val="0"/>
        </w:numPr>
        <w:ind w:hanging="0" w:left="0"/>
        <w:rPr/>
      </w:pPr>
      <w:r>
        <w:rPr/>
        <w:t>BẢNG XVI. CHÊNH LỆCH PSTMO SO VỚI BỐN ĐỐI CHỨNG TRÊN CÁC CẶP CÙNG HOÀN THÀNH</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38"/>
        <w:gridCol w:w="461"/>
        <w:gridCol w:w="965"/>
        <w:gridCol w:w="964"/>
        <w:gridCol w:w="1239"/>
      </w:tblGrid>
      <w:tr>
        <w:trPr>
          <w:tblHeader w:val="true"/>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Đối chứng</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n</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ΔT (s)</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Δe (mm)</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w:t>
            </w:r>
            <w:r>
              <w:rPr>
                <w:b/>
                <w:i/>
              </w:rPr>
              <w:t>E</w:t>
            </w:r>
            <w:r>
              <w:rPr>
                <w:b/>
                <w:vertAlign w:val="subscript"/>
              </w:rPr>
              <w:t>κ,exec</w:t>
            </w:r>
            <w:r>
              <w:rPr>
                <w:b/>
              </w:rPr>
              <w:t xml:space="preserve"> (m⁻¹)</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-3,328</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-0,829</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-1,117</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-1,207</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-0,861</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-0,453</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-2,790</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-0,856</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-0,955</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46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w:t>
            </w:r>
          </w:p>
        </w:tc>
        <w:tc>
          <w:tcPr>
            <w:tcW w:w="9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-3,009</w:t>
            </w:r>
          </w:p>
        </w:tc>
        <w:tc>
          <w:tcPr>
            <w:tcW w:w="9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-2,314</w:t>
            </w:r>
          </w:p>
        </w:tc>
        <w:tc>
          <w:tcPr>
            <w:tcW w:w="123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-1,055</w:t>
            </w:r>
          </w:p>
        </w:tc>
      </w:tr>
    </w:tbl>
    <w:p>
      <w:pPr>
        <w:pStyle w:val="Normal"/>
        <w:keepNext w:val="true"/>
        <w:spacing w:lineRule="exact" w:line="40" w:before="0" w:after="0"/>
        <w:rPr/>
      </w:pPr>
      <w:r>
        <w:rPr/>
      </w:r>
    </w:p>
    <w:p>
      <w:pPr>
        <w:pStyle w:val="ScientificNote"/>
        <w:keepLines/>
        <w:rPr/>
      </w:pPr>
      <w:r>
        <w:rPr/>
        <w:t>n là số cặp; Δ = PSTMO − đối chứng. Mỗi cặp dùng cùng đường gốc. Các chênh lệch là thống kê mô tả của một lượt cho mỗi cấu hình, không kèm kiểm định ý nghĩa thống kê.</w:t>
      </w:r>
    </w:p>
    <w:p>
      <w:pPr>
        <w:pStyle w:val="BodyText"/>
        <w:rPr/>
      </w:pPr>
      <w:r>
        <w:rPr/>
        <w:t>PSTMO nhanh hơn đường gốc ở 21/23 cặp, Simple ở 14/24, Savitzky–Golay ở 23/24 và Constrained ở 21/24. Số cặp có RMSE thấp hơn tương ứng là 12/23, 14/24, 15/24 và 17/24. Như vậy, lợi ích thời gian xuất hiện thường xuyên hơn lợi ích bám đường, đặc biệt khi so với Savitzky–Golay. Không có cơ sở để kết luận PSTMO giảm đồng thời mọi chỉ số trên mọi đầu vào.</w:t>
      </w:r>
    </w:p>
    <w:p>
      <w:pPr>
        <w:pStyle w:val="BodyText"/>
        <w:rPr/>
      </w:pPr>
      <w:r>
        <w:rPr/>
        <w:t xml:space="preserve">Hình 15 cho thấy chênh lệch thời gian và RMSE có thể đổi dấu giữa các đầu vào dù trung bình âm. Hàng cuối của hình dùng </w:t>
      </w:r>
      <w:r>
        <w:rPr>
          <w:i/>
        </w:rPr>
        <w:t>E</w:t>
      </w:r>
      <w:r>
        <w:rPr>
          <w:vertAlign w:val="subscript"/>
        </w:rPr>
        <w:t>κ,ref</w:t>
      </w:r>
      <w:r>
        <w:rPr/>
        <w:t xml:space="preserve"> trên đủ 25 cặp đường, khác với </w:t>
      </w:r>
      <w:r>
        <w:rPr>
          <w:i/>
        </w:rPr>
        <w:t>E</w:t>
      </w:r>
      <w:r>
        <w:rPr>
          <w:vertAlign w:val="subscript"/>
        </w:rPr>
        <w:t>κ,exec</w:t>
      </w:r>
      <w:r>
        <w:rPr/>
        <w:t xml:space="preserve"> trên các cặp cùng đạt trong Bảng XVI. Mục III-B–F phân tích theo tuyến; phần tiếp theo kiểm tra ảnh hưởng mật độ điểm tới chỉ số độ cong tham chiếu.</w:t>
      </w:r>
    </w:p>
    <w:p>
      <w:pPr>
        <w:pStyle w:val="Heading3"/>
        <w:keepNext w:val="true"/>
        <w:numPr>
          <w:ilvl w:val="0"/>
          <w:numId w:val="0"/>
        </w:numPr>
        <w:ind w:hanging="0" w:left="0"/>
        <w:rPr/>
      </w:pPr>
      <w:r>
        <w:rPr/>
        <w:t>2) Chiều dài và độ cong của đường tham chiếu</w:t>
      </w:r>
    </w:p>
    <w:p>
      <w:pPr>
        <w:pStyle w:val="BodyText"/>
        <w:rPr/>
      </w:pPr>
      <w:r>
        <w:rPr/>
        <w:t>Các bảng theo tuyến cho thấy PSTMO đồng thời thay đổi chiều dài và độ cong đường tham chiếu. Vì vậy, thời gian thực thi thấp hơn không thể được quy hoàn toàn cho một yếu tố hình học. Bảng XVII kiểm tra thêm độ cong sau khi thống nhất bước lấy mẫu của phần tịnh tiến.</w:t>
      </w:r>
    </w:p>
    <w:p>
      <w:pPr>
        <w:pStyle w:val="tablehead"/>
        <w:keepNext w:val="true"/>
        <w:numPr>
          <w:ilvl w:val="0"/>
          <w:numId w:val="0"/>
        </w:numPr>
        <w:ind w:hanging="0" w:left="0"/>
        <w:rPr/>
      </w:pPr>
      <w:r>
        <w:rPr/>
        <w:t>BẢNG XVII. HÌNH HỌC PHẦN TỊNH TIẾN SAU LẤY MẪU LẠI VÀ DẤU QUAY TẠI CHỖ</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52"/>
        <w:gridCol w:w="979"/>
        <w:gridCol w:w="979"/>
        <w:gridCol w:w="893"/>
        <w:gridCol w:w="764"/>
      </w:tblGrid>
      <w:tr>
        <w:trPr>
          <w:tblHeader w:val="true"/>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κ</w:t>
            </w:r>
            <w:r>
              <w:rPr>
                <w:b/>
                <w:vertAlign w:val="subscript"/>
              </w:rPr>
              <w:t>t,max</w:t>
            </w:r>
            <w:r>
              <w:rPr>
                <w:b/>
              </w:rPr>
              <w:t xml:space="preserve"> (m⁻¹)</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κ,t</w:t>
            </w:r>
            <w:r>
              <w:rPr>
                <w:b/>
              </w:rPr>
              <w:t xml:space="preserve"> (m⁻¹)</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N</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Quay</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11,06</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35,84</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3,29</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6,01</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5,97</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15,44</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6,74</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19,76</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223,6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52"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2,17</w:t>
            </w:r>
          </w:p>
        </w:tc>
        <w:tc>
          <w:tcPr>
            <w:tcW w:w="97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2,96</w:t>
            </w:r>
          </w:p>
        </w:tc>
        <w:tc>
          <w:tcPr>
            <w:tcW w:w="8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473,6</w:t>
            </w:r>
          </w:p>
        </w:tc>
        <w:tc>
          <w:tcPr>
            <w:tcW w:w="76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w:t>
            </w:r>
          </w:p>
        </w:tc>
      </w:tr>
    </w:tbl>
    <w:p>
      <w:pPr>
        <w:pStyle w:val="Normal"/>
        <w:keepNext w:val="true"/>
        <w:spacing w:lineRule="exact" w:line="40" w:before="0" w:after="0"/>
        <w:rPr/>
      </w:pPr>
      <w:r>
        <w:rPr/>
      </w:r>
    </w:p>
    <w:p>
      <w:pPr>
        <w:pStyle w:val="ScientificNote"/>
        <w:keepLines/>
        <w:rPr/>
      </w:pPr>
      <w:r>
        <w:rPr>
          <w:i/>
        </w:rPr>
        <w:t>κ</w:t>
      </w:r>
      <w:r>
        <w:rPr>
          <w:vertAlign w:val="subscript"/>
        </w:rPr>
        <w:t>t,max</w:t>
      </w:r>
      <w:r>
        <w:rPr/>
        <w:t xml:space="preserve"> và </w:t>
      </w:r>
      <w:r>
        <w:rPr>
          <w:i/>
        </w:rPr>
        <w:t>E</w:t>
      </w:r>
      <w:r>
        <w:rPr>
          <w:vertAlign w:val="subscript"/>
        </w:rPr>
        <w:t>κ,t</w:t>
      </w:r>
      <w:r>
        <w:rPr/>
        <w:t xml:space="preserve"> là trung bình trên 25 đường sau khi tách phần tịnh tiến và lấy mẫu lại với bước 0,05 m. N là số điểm đầu ra trung bình trước lấy mẫu lại; “Quay” là tổng số dấu quay tại chỗ trong 25 đường. Đây không phải số lần xoay hướng do bộ điều khiển thực hiện.</w:t>
      </w:r>
    </w:p>
    <w:p>
      <w:pPr>
        <w:pStyle w:val="BodyText"/>
        <w:rPr/>
      </w:pPr>
      <w:r>
        <w:rPr/>
        <w:t xml:space="preserve">Trong Bảng XVII, </w:t>
      </w:r>
      <w:r>
        <w:rPr>
          <w:i/>
        </w:rPr>
        <w:t>E</w:t>
      </w:r>
      <w:r>
        <w:rPr>
          <w:vertAlign w:val="subscript"/>
        </w:rPr>
        <w:t>κ,t</w:t>
      </w:r>
      <w:r>
        <w:rPr/>
        <w:t xml:space="preserve"> của PSTMO sau lấy mẫu lại vẫn thấp nhất: 2,96 m⁻¹, so với Simple 6,01 m⁻¹ và Constrained 19,76 m⁻¹. Thứ hạng trung bình được duy trì dù đã thống nhất bước lấy mẫu; kết quả rời rạc này không chứng minh tính liên tục độ cong của đường gấp khúc.</w:t>
      </w:r>
    </w:p>
    <w:p>
      <w:pPr>
        <w:pStyle w:val="BodyText"/>
        <w:rPr/>
      </w:pPr>
      <w:r>
        <w:rPr/>
        <w:t>Hai dấu quay tại chỗ được ghi trong 25 đường PSTMO, với tổng góc khoảng 1,608 rad. Các đối chứng không chứa dấu theo tiêu chí đã định; tuy nhiên, RPP vẫn có thể yêu cầu xoay hướng. Số dấu không thay thế số lần quay quan sát được khi thực thi.</w:t>
      </w:r>
    </w:p>
    <w:p>
      <w:pPr>
        <w:pStyle w:val="BodyText"/>
        <w:rPr/>
      </w:pPr>
      <w:r>
        <w:rPr/>
        <w:t>Sai lệch vị trí đầu–cuối do hậu xử lý không vượt 2,8 × 10⁻¹⁷ m, ở mức sai số số học. Kết quả chỉ kiểm tra vị trí của đường, không thay cho kiểm tra hướng, định vị hoặc sai số robot dừng tại đích.</w:t>
      </w:r>
    </w:p>
    <w:p>
      <w:pPr>
        <w:pStyle w:val="Heading3"/>
        <w:keepNext w:val="true"/>
        <w:numPr>
          <w:ilvl w:val="0"/>
          <w:numId w:val="0"/>
        </w:numPr>
        <w:ind w:hanging="0" w:left="0"/>
        <w:rPr/>
      </w:pPr>
      <w:r>
        <w:rPr/>
        <w:t>3) Quỹ đạo thực thi và độ chính xác cuối</w:t>
      </w:r>
    </w:p>
    <w:p>
      <w:pPr>
        <w:pStyle w:val="tablehead"/>
        <w:keepNext w:val="true"/>
        <w:numPr>
          <w:ilvl w:val="0"/>
          <w:numId w:val="0"/>
        </w:numPr>
        <w:ind w:hanging="0" w:left="0"/>
        <w:rPr/>
      </w:pPr>
      <w:r>
        <w:rPr/>
        <w:t>BẢNG XVIII. CHỈ SỐ CHUYỂN ĐỘNG VÀ SAI SỐ CUỐI CỦA NĂM PHƯƠNG ÁN</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38"/>
        <w:gridCol w:w="1065"/>
        <w:gridCol w:w="950"/>
        <w:gridCol w:w="821"/>
        <w:gridCol w:w="793"/>
      </w:tblGrid>
      <w:tr>
        <w:trPr>
          <w:tblHeader w:val="true"/>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κ,exec</w:t>
            </w:r>
            <w:r>
              <w:rPr>
                <w:b/>
              </w:rPr>
              <w:t xml:space="preserve"> (m⁻¹)</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j</w:t>
            </w:r>
            <w:r>
              <w:rPr>
                <w:b/>
                <w:vertAlign w:val="subscript"/>
              </w:rPr>
              <w:t>95</w:t>
            </w:r>
            <w:r>
              <w:rPr>
                <w:b/>
              </w:rPr>
              <w:t xml:space="preserve"> (m/s³)</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p</w:t>
            </w:r>
            <w:r>
              <w:rPr>
                <w:b/>
              </w:rPr>
              <w:t xml:space="preserve"> (mm)</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e</w:t>
            </w:r>
            <w:r>
              <w:rPr>
                <w:b/>
                <w:vertAlign w:val="subscript"/>
              </w:rPr>
              <w:t>ψ</w:t>
            </w:r>
            <w:r>
              <w:rPr>
                <w:b/>
              </w:rPr>
              <w:t xml:space="preserve"> (rad)</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3,311</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2,430</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0,080</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2,613</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2,361</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58,0</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0,076</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3,116</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2,377</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55,4</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0,071</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3,215</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2,375</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57,9</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0,067</w:t>
            </w:r>
          </w:p>
        </w:tc>
      </w:tr>
      <w:tr>
        <w:trPr>
          <w:cantSplit w:val="true"/>
        </w:trPr>
        <w:tc>
          <w:tcPr>
            <w:tcW w:w="123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106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2,149</w:t>
            </w:r>
          </w:p>
        </w:tc>
        <w:tc>
          <w:tcPr>
            <w:tcW w:w="9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2,341</w:t>
            </w:r>
          </w:p>
        </w:tc>
        <w:tc>
          <w:tcPr>
            <w:tcW w:w="82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57,3</w:t>
            </w:r>
          </w:p>
        </w:tc>
        <w:tc>
          <w:tcPr>
            <w:tcW w:w="79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0,069</w:t>
            </w:r>
          </w:p>
        </w:tc>
      </w:tr>
    </w:tbl>
    <w:p>
      <w:pPr>
        <w:pStyle w:val="Normal"/>
        <w:keepNext w:val="true"/>
        <w:spacing w:lineRule="exact" w:line="40" w:before="0" w:after="0"/>
        <w:rPr/>
      </w:pPr>
      <w:r>
        <w:rPr/>
      </w:r>
    </w:p>
    <w:p>
      <w:pPr>
        <w:pStyle w:val="ScientificNote"/>
        <w:keepLines/>
        <w:rPr/>
      </w:pPr>
      <w:r>
        <w:rPr/>
        <w:t xml:space="preserve">Trung bình trên các lượt đạt: 24 lượt cho đường gốc/PSTMO, 25 lượt cho mỗi phương án còn lại. </w:t>
      </w:r>
      <w:r>
        <w:rPr>
          <w:i/>
        </w:rPr>
        <w:t>j</w:t>
      </w:r>
      <w:r>
        <w:rPr>
          <w:vertAlign w:val="subscript"/>
        </w:rPr>
        <w:t>95</w:t>
      </w:r>
      <w:r>
        <w:rPr/>
        <w:t xml:space="preserve"> là phân vị 95% của trị tuyệt đối độ giật tịnh tiến trong từng lượt; bảng lấy trung bình các phân vị này. </w:t>
      </w:r>
      <w:r>
        <w:rPr>
          <w:i/>
        </w:rPr>
        <w:t>e</w:t>
      </w:r>
      <w:r>
        <w:rPr>
          <w:vertAlign w:val="subscript"/>
        </w:rPr>
        <w:t>p</w:t>
      </w:r>
      <w:r>
        <w:rPr/>
        <w:t xml:space="preserve"> và </w:t>
      </w:r>
      <w:r>
        <w:rPr>
          <w:i/>
        </w:rPr>
        <w:t>e</w:t>
      </w:r>
      <w:r>
        <w:rPr>
          <w:vertAlign w:val="subscript"/>
        </w:rPr>
        <w:t>ψ</w:t>
      </w:r>
      <w:r>
        <w:rPr/>
        <w:t xml:space="preserve"> là sai số vị trí và hướng cuối. </w:t>
      </w:r>
      <w:r>
        <w:rPr>
          <w:i/>
        </w:rPr>
        <w:t>E</w:t>
      </w:r>
      <w:r>
        <w:rPr>
          <w:vertAlign w:val="subscript"/>
        </w:rPr>
        <w:t>κ,exec</w:t>
      </w:r>
      <w:r>
        <w:rPr/>
        <w:t xml:space="preserve"> được tính trên quỹ đạo đã xử lý như Mục III-A.</w:t>
      </w:r>
    </w:p>
    <w:p>
      <w:pPr>
        <w:pStyle w:val="BodyText"/>
        <w:rPr/>
      </w:pPr>
      <w:r>
        <w:rPr/>
        <w:t xml:space="preserve">PSTMO có </w:t>
      </w:r>
      <w:r>
        <w:rPr>
          <w:i/>
        </w:rPr>
        <w:t>E</w:t>
      </w:r>
      <w:r>
        <w:rPr>
          <w:vertAlign w:val="subscript"/>
        </w:rPr>
        <w:t>κ,exec</w:t>
      </w:r>
      <w:r>
        <w:rPr/>
        <w:t xml:space="preserve"> trung bình thấp nhất trong Bảng XVIII. Trên các cặp cùng hoàn thành, chỉ số này giảm ở 23/23 cặp với đường gốc, 21/24 với Simple và toàn bộ 24 cặp với mỗi đối chứng Savitzky–Golay và Constrained. Mức cải thiện hình học thực thi nhất quán hơn mức giảm RMSE trong ma trận khảo sát.</w:t>
      </w:r>
    </w:p>
    <w:p>
      <w:pPr>
        <w:pStyle w:val="BodyText"/>
        <w:rPr/>
      </w:pPr>
      <w:r>
        <w:rPr/>
        <w:t>Quãng đường thực thi trung bình là 8,510; 8,507; 8,545; 8,555 và 8,539 m theo cùng thứ tự năm phương án. Giá trị gộp của PSTMO lớn hơn Simple, nhưng chênh lệch ghép cặp là −0,040 m trên 24 cặp cùng đạt. Sự khác nhau xuất phát từ việc Simple có thêm một lượt hoàn thành mà PSTMO không đạt. Đây là lý do cần báo mẫu số và dùng đầu vào tương ứng khi đánh giá chênh lệch.</w:t>
      </w:r>
    </w:p>
    <w:p>
      <w:pPr>
        <w:pStyle w:val="BodyText"/>
        <w:rPr/>
      </w:pPr>
      <w:r>
        <w:rPr/>
        <w:t>Trong Bảng XVIII, PSTMO có độ giật phân vị 95% trung bình thấp nhất, nhưng sai số vị trí cuối 57,3 mm vẫn lớn hơn đường gốc và Savitzky–Golay, cùng đạt 55,4 mm. Sai số hướng 0,069 rad thấp hơn ba đối chứng nhưng cao hơn Constrained, 0,067 rad. Các trung bình dùng tập lượt đạt riêng; thứ hạng bám đường không chuyển nguyên sang độ chính xác dừng.</w:t>
      </w:r>
    </w:p>
    <w:p>
      <w:pPr>
        <w:pStyle w:val="BodyText"/>
        <w:rPr/>
      </w:pPr>
      <w:r>
        <w:rPr/>
        <w:t>Hình 16 minh họa tín hiệu của R02 với Theta*, bộ lập kế hoạch cũng được dùng trong các hình đường tham chiếu theo tuyến. Trường hợp này giúp đối chiếu đường tham chiếu, chuyển động thực thi và vận tốc góc trong cùng lượt; không được dùng để ước lượng hiệu năng chung của năm tuyến.</w:t>
      </w:r>
    </w:p>
    <w:p>
      <w:pPr>
        <w:pStyle w:val="Normal"/>
        <w:keepNext w:val="true"/>
        <w:spacing w:before="60" w:after="0"/>
        <w:ind w:hanging="0"/>
        <w:jc w:val="center"/>
        <w:rPr/>
      </w:pPr>
      <w:r>
        <w:rPr/>
        <w:drawing>
          <wp:inline distT="0" distB="0" distL="0" distR="0">
            <wp:extent cx="3089910" cy="4116705"/>
            <wp:effectExtent l="0" t="0" r="0" b="0"/>
            <wp:doc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pic:cNvPicPr>
                      <a:picLocks noChangeAspect="1" noChangeArrowheads="1"/>
                    </pic:cNvPicPr>
                  </pic:nvPicPr>
                  <pic:blipFill>
                    <a:blip r:embed="rId17"/>
                    <a:stretch>
                      <a:fillRect/>
                    </a:stretch>
                  </pic:blipFill>
                  <pic:spPr bwMode="auto">
                    <a:xfrm>
                      <a:off x="0" y="0"/>
                      <a:ext cx="3089910" cy="4116705"/>
                    </a:xfrm>
                    <a:prstGeom prst="rect">
                      <a:avLst/>
                    </a:prstGeom>
                  </pic:spPr>
                </pic:pic>
              </a:graphicData>
            </a:graphic>
          </wp:inline>
        </w:drawing>
      </w:r>
    </w:p>
    <w:p>
      <w:pPr>
        <w:pStyle w:val="figurecaption"/>
        <w:keepNext w:val="false"/>
        <w:keepLines/>
        <w:numPr>
          <w:ilvl w:val="0"/>
          <w:numId w:val="0"/>
        </w:numPr>
        <w:ind w:hanging="0" w:left="0"/>
        <w:rPr/>
      </w:pPr>
      <w:r>
        <w:rPr/>
        <w:t>Hình 16. 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w:t>
      </w:r>
    </w:p>
    <w:p>
      <w:pPr>
        <w:pStyle w:val="BodyText"/>
        <w:rPr/>
      </w:pPr>
      <w:r>
        <w:rPr/>
        <w:t>Các tín hiệu trong Hình 16 đều có đoạn vận tốc góc dương gần 0,25 rad/s, nhưng diễn biến theo thời gian khác nhau. Ở lượt R02/Theta* này, PSTMO hoàn thành trong 55,764 s, nhanh hơn Constrained 0,939 s nhưng chậm hơn Simple 0,636 s. Vùng quỹ đạo phóng to chỉ biểu diễn một phần hành trình, còn đồ thị vận tốc bao quát cả lượt. Biên độ vận tốc góc gần nhau chưa giải thích chênh lệch thời gian toàn nhiệm vụ; các tín hiệu không tách được tác động riêng của hình học đường và bộ điều khiển.</w:t>
      </w:r>
    </w:p>
    <w:p>
      <w:pPr>
        <w:pStyle w:val="Heading3"/>
        <w:keepNext w:val="true"/>
        <w:numPr>
          <w:ilvl w:val="0"/>
          <w:numId w:val="0"/>
        </w:numPr>
        <w:ind w:hanging="0" w:left="0"/>
        <w:rPr/>
      </w:pPr>
      <w:r>
        <w:rPr/>
        <w:t>4) Biên độ chuyển động, thời lượng xử lý và an toàn</w:t>
      </w:r>
    </w:p>
    <w:p>
      <w:pPr>
        <w:pStyle w:val="tablehead"/>
        <w:keepNext w:val="true"/>
        <w:numPr>
          <w:ilvl w:val="0"/>
          <w:numId w:val="0"/>
        </w:numPr>
        <w:ind w:hanging="0" w:left="0"/>
        <w:rPr/>
      </w:pPr>
      <w:r>
        <w:rPr/>
        <w:t>BẢNG XIX. CỰC ĐẠI QUAN SÁT ĐƯỢC CỦA CÁC ĐẠI LƯỢNG CHUYỂN ĐỘNG</w:t>
      </w:r>
    </w:p>
    <w:tbl>
      <w:tblPr>
        <w:tblW w:w="4868"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123"/>
        <w:gridCol w:w="749"/>
        <w:gridCol w:w="748"/>
        <w:gridCol w:w="750"/>
        <w:gridCol w:w="748"/>
        <w:gridCol w:w="749"/>
      </w:tblGrid>
      <w:tr>
        <w:trPr>
          <w:tblHeader w:val="true"/>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|ω|</w:t>
            </w:r>
            <w:r>
              <w:rPr>
                <w:b/>
                <w:vertAlign w:val="subscript"/>
              </w:rPr>
              <w:t>max</w:t>
            </w:r>
            <w:r>
              <w:rPr>
                <w:b/>
              </w:rPr>
              <w:t xml:space="preserve"> (rad/s)</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|v</w:t>
            </w:r>
            <w:r>
              <w:rPr>
                <w:b/>
                <w:vertAlign w:val="subscript"/>
              </w:rPr>
              <w:t>b</w:t>
            </w:r>
            <w:r>
              <w:rPr>
                <w:b/>
                <w:i/>
              </w:rPr>
              <w:t>|</w:t>
            </w:r>
            <w:r>
              <w:rPr>
                <w:b/>
                <w:vertAlign w:val="subscript"/>
              </w:rPr>
              <w:t>max</w:t>
            </w:r>
            <w:r>
              <w:rPr>
                <w:b/>
              </w:rPr>
              <w:t xml:space="preserve"> (m/s)</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|a</w:t>
            </w:r>
            <w:r>
              <w:rPr>
                <w:b/>
                <w:vertAlign w:val="subscript"/>
              </w:rPr>
              <w:t>⊥</w:t>
            </w:r>
            <w:r>
              <w:rPr>
                <w:b/>
                <w:i/>
              </w:rPr>
              <w:t>|</w:t>
            </w:r>
            <w:r>
              <w:rPr>
                <w:b/>
                <w:vertAlign w:val="subscript"/>
              </w:rPr>
              <w:t>max</w:t>
            </w:r>
            <w:r>
              <w:rPr>
                <w:b/>
              </w:rPr>
              <w:t xml:space="preserve"> (m/s²)</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|a|</w:t>
            </w:r>
            <w:r>
              <w:rPr>
                <w:b/>
                <w:vertAlign w:val="subscript"/>
              </w:rPr>
              <w:t>max</w:t>
            </w:r>
            <w:r>
              <w:rPr>
                <w:b/>
              </w:rPr>
              <w:t xml:space="preserve"> (m/s²)</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i/>
              </w:rPr>
              <w:t>|α|</w:t>
            </w:r>
            <w:r>
              <w:rPr>
                <w:b/>
                <w:vertAlign w:val="subscript"/>
              </w:rPr>
              <w:t>max</w:t>
            </w:r>
            <w:r>
              <w:rPr>
                <w:b/>
              </w:rPr>
              <w:t xml:space="preserve"> (rad/s²)</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0,281</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0,697</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0,287</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0,789</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0,258</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0,768</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0,285</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0,656</w:t>
            </w:r>
          </w:p>
        </w:tc>
      </w:tr>
      <w:tr>
        <w:trPr>
          <w:cantSplit w:val="true"/>
        </w:trPr>
        <w:tc>
          <w:tcPr>
            <w:tcW w:w="1123"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0,249</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0,315</w:t>
            </w:r>
          </w:p>
        </w:tc>
        <w:tc>
          <w:tcPr>
            <w:tcW w:w="75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0,062</w:t>
            </w:r>
          </w:p>
        </w:tc>
        <w:tc>
          <w:tcPr>
            <w:tcW w:w="74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0,302</w:t>
            </w:r>
          </w:p>
        </w:tc>
        <w:tc>
          <w:tcPr>
            <w:tcW w:w="749"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0,732</w:t>
            </w:r>
          </w:p>
        </w:tc>
      </w:tr>
    </w:tbl>
    <w:p>
      <w:pPr>
        <w:pStyle w:val="Normal"/>
        <w:keepNext w:val="true"/>
        <w:spacing w:lineRule="exact" w:line="40" w:before="0" w:after="0"/>
        <w:rPr/>
      </w:pPr>
      <w:r>
        <w:rPr/>
      </w:r>
    </w:p>
    <w:p>
      <w:pPr>
        <w:pStyle w:val="ScientificNote"/>
        <w:keepLines/>
        <w:rPr/>
      </w:pPr>
      <w:r>
        <w:rPr/>
        <w:t xml:space="preserve">Mỗi ô là giá trị lớn nhất trong toàn bộ 25 lượt, bao gồm không đạt. </w:t>
      </w:r>
      <w:r>
        <w:rPr>
          <w:i/>
        </w:rPr>
        <w:t>v</w:t>
      </w:r>
      <w:r>
        <w:rPr>
          <w:vertAlign w:val="subscript"/>
        </w:rPr>
        <w:t>b</w:t>
      </w:r>
      <w:r>
        <w:rPr/>
        <w:t xml:space="preserve"> là vận tốc bánh tương đương suy từ vận tốc thân xe với khoảng cách bánh 0,2548 m; a⊥ = vω; a và α lần lượt là gia tốc tịnh tiến và gia tốc góc. Đây là đại lượng ước lượng tại các mẫu đã ghi, không phải phép đo trực tiếp vận tốc từng bánh.</w:t>
      </w:r>
    </w:p>
    <w:p>
      <w:pPr>
        <w:pStyle w:val="BodyText"/>
        <w:rPr/>
      </w:pPr>
      <w:r>
        <w:rPr/>
        <w:t>Bảng XIX ghi nhận vận tốc góc cực đại khoảng 0,249 rad/s cho cả năm phương án, thấp hơn giới hạn 0,80 rad/s trong mô hình PSTMO. Vận tốc bánh tương đương không vượt khoảng 0,316 m/s và gia tốc ngang không vượt 0,063 m/s²; các giới hạn mô hình tương ứng là 0,36 m/s và 0,18 m/s². Vận tốc tịnh tiến cực đại xấp xỉ 0,30 m/s; phần vượt nhỏ hơn 10⁻⁷ m/s ở dữ liệu lưu được xem là sai số số học của mô phỏng.</w:t>
      </w:r>
    </w:p>
    <w:p>
      <w:pPr>
        <w:pStyle w:val="BodyText"/>
        <w:rPr/>
      </w:pPr>
      <w:r>
        <w:rPr/>
        <w:t>Gia tốc tịnh tiến cực đại của PSTMO là 0,302 m/s², cao hơn bốn đối chứng trong ma trận dù vẫn thấp hơn giới hạn tăng tốc 0,35 m/s². Cực đại gia tốc góc là 0,732 rad/s², thấp hơn giới hạn 1,20 rad/s² nhưng cao hơn Constrained. Các kết quả này mô tả đáp ứng của toàn hệ thống dưới cùng bộ điều khiển; chúng chưa tách được đóng góp riêng của các ràng buộc nội bộ PSTMO hoặc bảo đảm rằng mọi trạng thái giữa hai mẫu đều thỏa giới hạn.</w:t>
      </w:r>
    </w:p>
    <w:p>
      <w:pPr>
        <w:pStyle w:val="tablehead"/>
        <w:keepNext w:val="true"/>
        <w:numPr>
          <w:ilvl w:val="0"/>
          <w:numId w:val="0"/>
        </w:numPr>
        <w:ind w:hanging="0" w:left="0"/>
        <w:rPr/>
      </w:pPr>
      <w:r>
        <w:rPr/>
        <w:t>BẢNG XX. THỜI LƯỢNG HẬU XỬ LÝ VÀ CÁC CHỈ SỐ GIÁM SÁT TRONG MA TRẬN KHẢO SÁT</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66"/>
        <w:gridCol w:w="836"/>
        <w:gridCol w:w="791"/>
        <w:gridCol w:w="894"/>
        <w:gridCol w:w="1080"/>
      </w:tblGrid>
      <w:tr>
        <w:trPr>
          <w:tblHeader w:val="true"/>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Phương án</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τ (ms)</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Dừng</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Can thiệp</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Mẫu va chạm</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Đường gốc</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Simple</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1,32</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SG</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0,00</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Constrained</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26,88</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r>
        <w:trPr>
          <w:cantSplit w:val="true"/>
        </w:trPr>
        <w:tc>
          <w:tcPr>
            <w:tcW w:w="126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PSTMO</w:t>
            </w:r>
          </w:p>
        </w:tc>
        <w:tc>
          <w:tcPr>
            <w:tcW w:w="8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98,04</w:t>
            </w:r>
          </w:p>
        </w:tc>
        <w:tc>
          <w:tcPr>
            <w:tcW w:w="79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25/25</w:t>
            </w:r>
          </w:p>
        </w:tc>
        <w:tc>
          <w:tcPr>
            <w:tcW w:w="89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c>
          <w:tcPr>
            <w:tcW w:w="108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w:t>
            </w:r>
          </w:p>
        </w:tc>
      </w:tr>
    </w:tbl>
    <w:p>
      <w:pPr>
        <w:pStyle w:val="Normal"/>
        <w:keepNext w:val="true"/>
        <w:spacing w:lineRule="exact" w:line="40" w:before="0" w:after="0"/>
        <w:rPr/>
      </w:pPr>
      <w:r>
        <w:rPr/>
      </w:r>
    </w:p>
    <w:p>
      <w:pPr>
        <w:pStyle w:val="ScientificNote"/>
        <w:keepLines/>
        <w:rPr/>
      </w:pPr>
      <w:r>
        <w:rPr/>
        <w:t>τ là trung bình trên 25 lượt; đường gốc không gọi hậu xử lý. “Dừng” là số lượt đáp ứng điều kiện dừng vật lý; “Can thiệp” là tổng số lần bộ giám sát va chạm can thiệp; “Mẫu va chạm” là tổng mẫu đường bao giao cắt vật cản trên đường tham chiếu. Các số đếm bao gồm cả lượt không đạt.</w:t>
      </w:r>
    </w:p>
    <w:p>
      <w:pPr>
        <w:pStyle w:val="BodyText"/>
        <w:rPr/>
      </w:pPr>
      <w:r>
        <w:rPr/>
        <w:t>Bảng XX ghi nhận thời lượng hậu xử lý trung bình 98,04 ms với PSTMO, 26,88 ms với Constrained và 1,32 ms với Simple. PSTMO có chi phí thời gian xử lý cao nhất trong phép đo này, nên cần cân nhắc khi yêu cầu cập nhật đường thường xuyên. Giá trị 0,00 ms của Savitzky–Golay theo đồng hồ mô phỏng không chứng minh chi phí tính toán bằng không; các số liệu chưa phải thời gian CPU.</w:t>
      </w:r>
    </w:p>
    <w:p>
      <w:pPr>
        <w:pStyle w:val="BodyText"/>
        <w:rPr/>
      </w:pPr>
      <w:r>
        <w:rPr/>
        <w:t>Toàn bộ 125 lượt đáp ứng điều kiện dừng vật lý; hai lượt vẫn không đạt do sai số vị trí. Không ghi nhận can thiệp của bộ giám sát va chạm hoặc mẫu đường bao giao cắt vật cản trên đường tham chiếu. Khoảng hở ở các bảng theo tuyến cho thấy PSTMO thường đi gần vật cản hơn Constrained. Phép kiểm tra trên bản đồ tĩnh không thay thế phép đo tiếp xúc vật lý và không xác định được khoảng hở nhỏ nhất của toàn bộ chuyển động thực thi.</w:t>
      </w:r>
    </w:p>
    <w:p>
      <w:pPr>
        <w:pStyle w:val="Heading2"/>
        <w:keepNext w:val="true"/>
        <w:numPr>
          <w:ilvl w:val="0"/>
          <w:numId w:val="0"/>
        </w:numPr>
        <w:ind w:hanging="0" w:left="0"/>
        <w:rPr/>
      </w:pPr>
      <w:r>
        <w:rPr/>
        <w:t>H. Kiểm chứng bổ sung về tính lặp lại</w:t>
      </w:r>
    </w:p>
    <w:p>
      <w:pPr>
        <w:pStyle w:val="Heading3"/>
        <w:keepNext w:val="true"/>
        <w:numPr>
          <w:ilvl w:val="0"/>
          <w:numId w:val="0"/>
        </w:numPr>
        <w:ind w:hanging="0" w:left="0"/>
        <w:rPr/>
      </w:pPr>
      <w:r>
        <w:rPr/>
        <w:t>1) Phương pháp phân tích thống kê</w:t>
      </w:r>
    </w:p>
    <w:p>
      <w:pPr>
        <w:pStyle w:val="BodyText"/>
        <w:rPr/>
      </w:pPr>
      <w:r>
        <w:rPr/>
        <w:t xml:space="preserve">Trong toàn bộ 125 cặp, hai phương án nhận cùng đường gốc trong từng cặp. Constrained đạt 122/125 và PSTMO đạt 121/125; có 118 cặp cùng đạt để phân tích chỉ số liên tục. Mỗi tổ hợp tuyến–bộ lập kế hoạch tạo một nhóm b. Gọi </w:t>
      </w:r>
      <w:r>
        <w:rPr>
          <w:i/>
        </w:rPr>
        <w:t>R</w:t>
      </w:r>
      <w:r>
        <w:rPr>
          <w:vertAlign w:val="subscript"/>
        </w:rPr>
        <w:t>b</w:t>
      </w:r>
      <w:r>
        <w:rPr/>
        <w:t xml:space="preserve"> là tập lần lặp cùng đạt trong nhóm; </w:t>
      </w:r>
      <w:r>
        <w:rPr>
          <w:i/>
        </w:rPr>
        <w:t>d</w:t>
      </w:r>
      <w:r>
        <w:rPr>
          <w:vertAlign w:val="subscript"/>
        </w:rPr>
        <w:t>b</w:t>
      </w:r>
      <w:r>
        <w:rPr/>
        <w:t xml:space="preserve"> là trung bình hiệu PSTMO trừ Constrained. Công thức 9 tính chênh lệch chung Δ bằng trung bình đều của 25 nhóm, tránh coi các lần lặp cùng đầu vào là các đầu vào độc lập. Các đại lượng </w:t>
      </w:r>
      <w:r>
        <w:rPr>
          <w:i/>
        </w:rPr>
        <w:t>y</w:t>
      </w:r>
      <w:r>
        <w:rPr>
          <w:vertAlign w:val="subscript"/>
        </w:rPr>
        <w:t>P,br</w:t>
      </w:r>
      <w:r>
        <w:rPr/>
        <w:t xml:space="preserve"> và </w:t>
      </w:r>
      <w:r>
        <w:rPr>
          <w:i/>
        </w:rPr>
        <w:t>y</w:t>
      </w:r>
      <w:r>
        <w:rPr>
          <w:vertAlign w:val="subscript"/>
        </w:rPr>
        <w:t>C,br</w:t>
      </w:r>
      <w:r>
        <w:rPr/>
        <w:t xml:space="preserve"> là giá trị chỉ số của hai phương án tại lần lặp r trong nhóm b.</w:t>
      </w:r>
    </w:p>
    <w:p>
      <w:pPr>
        <w:pStyle w:val="ScientificEquation"/>
        <w:keepNext w:val="true"/>
        <w:keepLines/>
        <w:tabs>
          <w:tab w:val="clear" w:pos="288"/>
          <w:tab w:val="center" w:pos="2433" w:leader="none"/>
          <w:tab w:val="right" w:pos="4866" w:leader="none"/>
        </w:tabs>
        <w:spacing w:before="60" w:after="40"/>
        <w:jc w:val="left"/>
        <w:rPr/>
      </w:pPr>
      <w:r>
        <w:rPr/>
        <w:tab/>
      </w:r>
      <w:r>
        <w:rPr/>
      </w:r>
      <m:oMath xmlns:m="http://schemas.openxmlformats.org/officeDocument/2006/math">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f>
          <m:num>
            <m:r>
              <w:rPr>
                <w:rFonts w:ascii="Cambria Math" w:hAnsi="Cambria Math"/>
              </w:rPr>
              <m:t xml:space="preserve">1</m:t>
            </m:r>
          </m:num>
          <m:den>
            <m:d>
              <m:dPr>
                <m:begChr m:val="|"/>
                <m:endChr m:val="|"/>
              </m:dPr>
              <m:e>
                <m:sSub>
                  <m:e>
                    <m:r>
                      <w:rPr>
                        <w:rFonts w:ascii="Cambria Math" w:hAnsi="Cambria Math"/>
                      </w:rPr>
                      <m:t xml:space="preserve">R</m:t>
                    </m:r>
                  </m:e>
                  <m:sub>
                    <m:r>
                      <w:rPr>
                        <w:rFonts w:ascii="Cambria Math" w:hAnsi="Cambria Math"/>
                      </w:rPr>
                      <m:t xml:space="preserve">b</m:t>
                    </m:r>
                  </m:sub>
                </m:sSub>
              </m:e>
            </m:d>
          </m:den>
        </m:f>
        <m:nary>
          <m:naryPr>
            <m:chr m:val="∑"/>
            <m:supHide m:val="1"/>
          </m:naryPr>
          <m:sub>
            <m:r>
              <w:rPr>
                <w:rFonts w:ascii="Cambria Math" w:hAnsi="Cambria Math"/>
              </w:rPr>
              <m:t xml:space="preserve">r</m:t>
            </m:r>
            <m: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sub>
          <m:sup/>
          <m:e>
            <m:r>
              <w:rPr>
                <w:rFonts w:ascii="Cambria Math" w:hAnsi="Cambria Math"/>
              </w:rPr>
              <m:t xml:space="preserve">(</m:t>
            </m:r>
            <m:sSub>
              <m:e>
                <m:r>
                  <w:rPr>
                    <w:rFonts w:ascii="Cambria Math" w:hAnsi="Cambria Math"/>
                  </w:rPr>
                  <m:t xml:space="preserve">y</m:t>
                </m:r>
              </m:e>
              <m:sub>
                <m:r>
                  <w:rPr>
                    <w:rFonts w:ascii="Cambria Math" w:hAnsi="Cambria Math"/>
                  </w:rPr>
                  <m:t xml:space="preserve">P</m:t>
                </m:r>
                <m:r>
                  <w:rPr>
                    <w:rFonts w:ascii="Cambria Math" w:hAnsi="Cambria Math"/>
                  </w:rPr>
                  <m:t xml:space="preserve">,</m:t>
                </m:r>
                <m:r>
                  <w:rPr>
                    <w:rFonts w:ascii="Cambria Math" w:hAnsi="Cambria Math"/>
                  </w:rPr>
                  <m:t xml:space="preserve">b</m:t>
                </m:r>
                <m:r>
                  <w:rPr>
                    <w:rFonts w:ascii="Cambria Math" w:hAnsi="Cambria Math"/>
                  </w:rPr>
                  <m:t xml:space="preserve">r</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C</m:t>
                </m:r>
                <m:r>
                  <w:rPr>
                    <w:rFonts w:ascii="Cambria Math" w:hAnsi="Cambria Math"/>
                  </w:rPr>
                  <m:t xml:space="preserve">,</m:t>
                </m:r>
                <m:r>
                  <w:rPr>
                    <w:rFonts w:ascii="Cambria Math" w:hAnsi="Cambria Math"/>
                  </w:rPr>
                  <m:t xml:space="preserve">b</m:t>
                </m:r>
                <m:r>
                  <w:rPr>
                    <w:rFonts w:ascii="Cambria Math" w:hAnsi="Cambria Math"/>
                  </w:rPr>
                  <m:t xml:space="preserve">r</m:t>
                </m:r>
              </m:sub>
            </m:sSub>
            <m:r>
              <w:rPr>
                <w:rFonts w:ascii="Cambria Math" w:hAnsi="Cambria Math"/>
              </w:rPr>
              <m:t xml:space="preserve">)</m:t>
            </m:r>
            <m:r>
              <w:rPr>
                <w:rFonts w:ascii="Cambria Math" w:hAnsi="Cambria Math"/>
              </w:rPr>
              <m:t xml:space="preserve">,</m:t>
            </m:r>
          </m:e>
        </m:nary>
      </m:oMath>
    </w:p>
    <w:p>
      <w:pPr>
        <w:pStyle w:val="ScientificEquation"/>
        <w:keepNext w:val="false"/>
        <w:keepLines/>
        <w:tabs>
          <w:tab w:val="clear" w:pos="288"/>
          <w:tab w:val="center" w:pos="2433" w:leader="none"/>
          <w:tab w:val="right" w:pos="4866" w:leader="none"/>
        </w:tabs>
        <w:spacing w:before="0" w:after="120"/>
        <w:jc w:val="left"/>
        <w:rPr/>
      </w:pPr>
      <w:r>
        <w:rPr/>
        <w:tab/>
      </w:r>
      <w:r>
        <w:rPr/>
      </w:r>
      <m:oMath xmlns:m="http://schemas.openxmlformats.org/officeDocument/2006/math">
        <m:r>
          <w:rPr>
            <w:rFonts w:ascii="Cambria Math" w:hAnsi="Cambria Math"/>
          </w:rPr>
          <m:t xml:space="preserve">Δ</m:t>
        </m:r>
        <m:r>
          <w:rPr>
            <w:rFonts w:ascii="Cambria Math" w:hAnsi="Cambria Math"/>
          </w:rPr>
          <m:t xml:space="preserve">=</m:t>
        </m:r>
        <m:f>
          <m:num>
            <m:r>
              <w:rPr>
                <w:rFonts w:ascii="Cambria Math" w:hAnsi="Cambria Math"/>
              </w:rPr>
              <m:t xml:space="preserve">1</m:t>
            </m:r>
          </m:num>
          <m:den>
            <m:r>
              <w:rPr>
                <w:rFonts w:ascii="Cambria Math" w:hAnsi="Cambria Math"/>
              </w:rPr>
              <m:t xml:space="preserve">25</m:t>
            </m:r>
          </m:den>
        </m:f>
        <m:nary>
          <m:naryPr>
            <m:chr m:val="∑"/>
          </m:naryPr>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25</m:t>
            </m:r>
          </m:sup>
          <m:e>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e>
        </m:nary>
      </m:oMath>
      <w:r>
        <w:rPr/>
        <w:tab/>
        <w:t>(9)</w:t>
      </w:r>
    </w:p>
    <w:p>
      <w:pPr>
        <w:pStyle w:val="BodyText"/>
        <w:rPr/>
      </w:pPr>
      <w:r>
        <w:rPr/>
        <w:t xml:space="preserve">Khoảng tin cậy 95% của Δ dùng bootstrap phân vị trên 25 nhóm, lấy mẫu lại 20.000 lần [50]. Kiểm định Wilcoxon hạng có dấu hai phía dùng </w:t>
      </w:r>
      <w:r>
        <w:rPr>
          <w:i/>
        </w:rPr>
        <w:t>d</w:t>
      </w:r>
      <w:r>
        <w:rPr>
          <w:vertAlign w:val="subscript"/>
        </w:rPr>
        <w:t>b</w:t>
      </w:r>
      <w:r>
        <w:rPr/>
        <w:t xml:space="preserve">, loại các hiệu có trị tuyệt đối không quá 10⁻¹² [51]; xét phân bố chênh lệch đối xứng quanh không, không trực tiếp kiểm định trung bình Δ. Giá trị p của thời gian, RMSE và </w:t>
      </w:r>
      <w:r>
        <w:rPr>
          <w:i/>
        </w:rPr>
        <w:t>E</w:t>
      </w:r>
      <w:r>
        <w:rPr>
          <w:vertAlign w:val="subscript"/>
        </w:rPr>
        <w:t>κ,exec</w:t>
      </w:r>
      <w:r>
        <w:rPr/>
        <w:t xml:space="preserve"> được hiệu chỉnh Holm [52], nhưng khoảng tin cậy chỉ ở mức từng chỉ số. Các nhóm chia sẻ tuyến, bộ lập kế hoạch và bản đồ; gom nhóm chưa loại hết phụ thuộc. Suy luận giới hạn trong thiết kế đầu vào cố định.</w:t>
      </w:r>
    </w:p>
    <w:p>
      <w:pPr>
        <w:pStyle w:val="Heading3"/>
        <w:keepNext w:val="true"/>
        <w:numPr>
          <w:ilvl w:val="0"/>
          <w:numId w:val="0"/>
        </w:numPr>
        <w:ind w:hanging="0" w:left="0"/>
        <w:rPr/>
      </w:pPr>
      <w:r>
        <w:rPr/>
        <w:t>2) Kết quả chính và các đánh đổi</w:t>
      </w:r>
    </w:p>
    <w:p>
      <w:pPr>
        <w:pStyle w:val="tablehead"/>
        <w:keepNext w:val="true"/>
        <w:numPr>
          <w:ilvl w:val="0"/>
          <w:numId w:val="0"/>
        </w:numPr>
        <w:ind w:hanging="0" w:left="0"/>
        <w:rPr/>
      </w:pPr>
      <w:r>
        <w:rPr/>
        <w:t>BẢNG XXI. CHÊNH LỆCH PSTMO SO VỚI CONSTRAINED TRONG BỘ KIỂM CHỨNG LẶP</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208"/>
        <w:gridCol w:w="835"/>
        <w:gridCol w:w="1901"/>
        <w:gridCol w:w="920"/>
      </w:tblGrid>
      <w:tr>
        <w:trPr>
          <w:tblHeader w:val="true"/>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Chỉ số</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 trung bình</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Khoảng tin cậy 95%</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p Holm</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 (s)</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-2,857</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[-3,716; -2,039]</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1,19 × 10⁻⁶</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e (mm)</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-2,985</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[-4,487; -1,506]</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4,89 × 10⁻⁴</w:t>
            </w:r>
          </w:p>
        </w:tc>
      </w:tr>
      <w:tr>
        <w:trPr>
          <w:cantSplit w:val="true"/>
        </w:trPr>
        <w:tc>
          <w:tcPr>
            <w:tcW w:w="1208"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i/>
              </w:rPr>
              <w:t>E</w:t>
            </w:r>
            <w:r>
              <w:rPr>
                <w:vertAlign w:val="subscript"/>
              </w:rPr>
              <w:t>κ,exec</w:t>
            </w:r>
            <w:r>
              <w:rPr/>
              <w:t xml:space="preserve"> (m⁻¹)</w:t>
            </w:r>
          </w:p>
        </w:tc>
        <w:tc>
          <w:tcPr>
            <w:tcW w:w="83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-1,038</w:t>
            </w:r>
          </w:p>
        </w:tc>
        <w:tc>
          <w:tcPr>
            <w:tcW w:w="1901"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[-1,332; -0,767]</w:t>
            </w:r>
          </w:p>
        </w:tc>
        <w:tc>
          <w:tcPr>
            <w:tcW w:w="92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5,36 × 10⁻⁷</w:t>
            </w:r>
          </w:p>
        </w:tc>
      </w:tr>
    </w:tbl>
    <w:p>
      <w:pPr>
        <w:pStyle w:val="Normal"/>
        <w:keepNext w:val="true"/>
        <w:spacing w:lineRule="exact" w:line="40" w:before="0" w:after="0"/>
        <w:rPr/>
      </w:pPr>
      <w:r>
        <w:rPr/>
      </w:r>
    </w:p>
    <w:p>
      <w:pPr>
        <w:pStyle w:val="ScientificNote"/>
        <w:keepLines/>
        <w:rPr/>
      </w:pPr>
      <w:r>
        <w:rPr/>
        <w:t>Δ = PSTMO − Constrained, trung bình đều trên 25 nhóm. Khoảng tin cậy dùng bootstrap nhóm; p Holm hiệu chỉnh ba chỉ số chính. Phân tích chỉ dùng những cặp cả hai phương án cùng đạt và không gộp dữ liệu với ma trận 125 lượt.</w:t>
      </w:r>
    </w:p>
    <w:p>
      <w:pPr>
        <w:pStyle w:val="BodyText"/>
        <w:rPr/>
      </w:pPr>
      <w:r>
        <w:rPr/>
        <w:t xml:space="preserve">PSTMO giảm thời gian trung bình theo nhóm 2,857 s, RMSE 2,985 mm và </w:t>
      </w:r>
      <w:r>
        <w:rPr>
          <w:i/>
        </w:rPr>
        <w:t>E</w:t>
      </w:r>
      <w:r>
        <w:rPr>
          <w:vertAlign w:val="subscript"/>
        </w:rPr>
        <w:t>κ,exec</w:t>
      </w:r>
      <w:r>
        <w:rPr/>
        <w:t xml:space="preserve"> 1,038 m⁻¹. Khoảng tin cậy 95% của cả ba chênh lệch đều nằm dưới không; các giá trị p sau hiệu chỉnh Holm đều nhỏ hơn 0,05. Kết quả hỗ trợ mức cải thiện trung bình trong thiết kế khảo sát, không bảo đảm mọi lần thực thi đều tốt hơn. Số nhóm có chỉ số giảm lần lượt là 24/25, 19/25 và 24/25, cho thấy lợi ích RMSE ít nhất quán hơn hai chỉ số còn lại.</w:t>
      </w:r>
    </w:p>
    <w:p>
      <w:pPr>
        <w:pStyle w:val="BodyText"/>
        <w:rPr/>
      </w:pPr>
      <w:r>
        <w:rPr/>
        <w:t>Hình 17 cho thấy RMSE tăng ở một số đầu vào dù chênh lệch chung âm. Trung bình đều theo công thức 9 tránh để nhóm nhiều cặp cùng đạt hơn chi phối kết quả, nhưng không hiệu chỉnh thiên lệch do loại cặp không cùng đạt. Ý nghĩa vận hành còn phụ thuộc yêu cầu thời gian, sai số và khoảng hở; p nhỏ không thay thế các tiêu chí đó. Bảng XXII trình bày các đánh đổi.</w:t>
      </w:r>
    </w:p>
    <w:p>
      <w:pPr>
        <w:pStyle w:val="tablehead"/>
        <w:keepNext w:val="true"/>
        <w:numPr>
          <w:ilvl w:val="0"/>
          <w:numId w:val="0"/>
        </w:numPr>
        <w:ind w:hanging="0" w:left="0"/>
        <w:rPr/>
      </w:pPr>
      <w:r>
        <w:rPr/>
        <w:t>BẢNG XXII. CÁC CHỈ SỐ BỔ SUNG TRONG BỘ KIỂM CHỨNG LẶP</w:t>
      </w:r>
    </w:p>
    <w:tbl>
      <w:tblPr>
        <w:tblW w:w="4867"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656"/>
        <w:gridCol w:w="936"/>
        <w:gridCol w:w="2275"/>
      </w:tblGrid>
      <w:tr>
        <w:trPr>
          <w:tblHeader w:val="true"/>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Chỉ số phụ</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Δ trung bình</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Khoảng tin cậy 95%</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i/>
              </w:rPr>
              <w:t>E</w:t>
            </w:r>
            <w:r>
              <w:rPr>
                <w:vertAlign w:val="subscript"/>
              </w:rPr>
              <w:t>κ,ref</w:t>
            </w:r>
            <w:r>
              <w:rPr/>
              <w:t xml:space="preserve"> (m⁻¹)</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-23,202</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[-34,866; -13,197]</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Phân vị 95% của |độ giật| (m/s³)</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-0,078</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[-0,131; -0,032]</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Quãng đường (m)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-0,089</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[-0,111; -0,069]</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Sai số đích (mm)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+3,380</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[+1,077; +5,649]</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Khoảng hở (mm)</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-35,161</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[-58,420; -10,997]</w:t>
            </w:r>
          </w:p>
        </w:tc>
      </w:tr>
      <w:tr>
        <w:trPr>
          <w:cantSplit w:val="true"/>
        </w:trPr>
        <w:tc>
          <w:tcPr>
            <w:tcW w:w="165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Thời lượng hậu xử lý (ms)</w:t>
            </w:r>
          </w:p>
        </w:tc>
        <w:tc>
          <w:tcPr>
            <w:tcW w:w="93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+71,220</w:t>
            </w:r>
          </w:p>
        </w:tc>
        <w:tc>
          <w:tcPr>
            <w:tcW w:w="2275"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[+58,392; +85,230]</w:t>
            </w:r>
          </w:p>
        </w:tc>
      </w:tr>
    </w:tbl>
    <w:p>
      <w:pPr>
        <w:pStyle w:val="Normal"/>
        <w:keepNext w:val="true"/>
        <w:spacing w:lineRule="exact" w:line="40" w:before="0" w:after="0"/>
        <w:rPr/>
      </w:pPr>
      <w:r>
        <w:rPr/>
      </w:r>
    </w:p>
    <w:p>
      <w:pPr>
        <w:pStyle w:val="ScientificNote"/>
        <w:keepLines/>
        <w:rPr/>
      </w:pPr>
      <w:r>
        <w:rPr/>
        <w:t>Các khoảng tin cậy là phân tích bổ sung; hiệu chỉnh Holm chỉ áp dụng cho ba chỉ số trong Bảng XXI. Dấu âm thuận lợi cho quãng đường, độ giật, tích phân bình phương độ cong và thời lượng xử lý; đối với khoảng hở, dấu âm biểu thị robot được dẫn gần vật cản hơn.</w:t>
      </w:r>
    </w:p>
    <w:p>
      <w:pPr>
        <w:pStyle w:val="Normal"/>
        <w:keepNext w:val="true"/>
        <w:spacing w:before="60" w:after="0"/>
        <w:ind w:hanging="0"/>
        <w:jc w:val="center"/>
        <w:rPr/>
      </w:pPr>
      <w:r>
        <w:rPr/>
        <w:drawing>
          <wp:inline distT="0" distB="0" distL="0" distR="0">
            <wp:extent cx="3089910" cy="3567430"/>
            <wp:effectExtent l="0" t="0" r="0" b="0"/>
            <wp:doc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pic:cNvPicPr>
                      <a:picLocks noChangeAspect="1" noChangeArrowheads="1"/>
                    </pic:cNvPicPr>
                  </pic:nvPicPr>
                  <pic:blipFill>
                    <a:blip r:embed="rId18"/>
                    <a:stretch>
                      <a:fillRect/>
                    </a:stretch>
                  </pic:blipFill>
                  <pic:spPr bwMode="auto">
                    <a:xfrm>
                      <a:off x="0" y="0"/>
                      <a:ext cx="3089910" cy="3567430"/>
                    </a:xfrm>
                    <a:prstGeom prst="rect">
                      <a:avLst/>
                    </a:prstGeom>
                  </pic:spPr>
                </pic:pic>
              </a:graphicData>
            </a:graphic>
          </wp:inline>
        </w:drawing>
      </w:r>
    </w:p>
    <w:p>
      <w:pPr>
        <w:pStyle w:val="figurecaption"/>
        <w:keepNext w:val="false"/>
        <w:keepLines/>
        <w:numPr>
          <w:ilvl w:val="0"/>
          <w:numId w:val="0"/>
        </w:numPr>
        <w:ind w:hanging="0" w:left="0"/>
        <w:rPr/>
      </w:pPr>
      <w:r>
        <w:rPr/>
        <w:t>Hình 17. 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w:t>
      </w:r>
    </w:p>
    <w:p>
      <w:pPr>
        <w:pStyle w:val="BodyText"/>
        <w:rPr/>
      </w:pPr>
      <w:r>
        <w:rPr/>
        <w:t xml:space="preserve">Bảng XXII ghi nhận quãng đường giảm 0,089 m và </w:t>
      </w:r>
      <w:r>
        <w:rPr>
          <w:i/>
        </w:rPr>
        <w:t>E</w:t>
      </w:r>
      <w:r>
        <w:rPr>
          <w:vertAlign w:val="subscript"/>
        </w:rPr>
        <w:t>κ,ref</w:t>
      </w:r>
      <w:r>
        <w:rPr/>
        <w:t xml:space="preserve"> giảm 23,202 m⁻¹, đồng thời khoảng hở giảm 35,161 mm, sai số vị trí cuối tăng 3,380 mm và thời lượng hậu xử lý tăng 71,220 ms. Lợi ích hình học và thời gian vì vậy đi kèm bất lợi về khoảng cách vật cản và độ chính xác dừng. Các khoảng tin cậy bổ sung không chứa không nhưng chưa được hiệu chỉnh đa kiểm định như ba chỉ số chính. Mức giảm độ giật 0,078 m/s³ chỉ mô tả biến thiên gia tốc, không xác định độ rung tải hàng hoặc điện năng tiêu thụ.</w:t>
      </w:r>
    </w:p>
    <w:p>
      <w:pPr>
        <w:pStyle w:val="BodyText"/>
        <w:rPr/>
      </w:pPr>
      <w:r>
        <w:rPr/>
        <w:t>Trong 125 cặp, bốn cặp chỉ Constrained đạt và ba cặp chỉ PSTMO đạt. Kiểm định McNemar chính xác hai phía cho p = 1,0. Dữ liệu chưa cho thấy khác biệt tỷ lệ thành công; kết quả cũng không chứng minh tương đương hoặc không kém hơn. Năm lần lặp ở mỗi cấu hình còn ít để đánh giá các thất bại hiếm. Các lượt không đạt được giữ đầy đủ trong Mục III-I.</w:t>
      </w:r>
    </w:p>
    <w:p>
      <w:pPr>
        <w:pStyle w:val="Heading2"/>
        <w:keepNext w:val="true"/>
        <w:numPr>
          <w:ilvl w:val="0"/>
          <w:numId w:val="0"/>
        </w:numPr>
        <w:ind w:hanging="0" w:left="0"/>
        <w:rPr/>
      </w:pPr>
      <w:r>
        <w:rPr/>
        <w:t>I. Phân tích các trường hợp không đạt và giới hạn nghiên cứu</w:t>
      </w:r>
    </w:p>
    <w:p>
      <w:pPr>
        <w:pStyle w:val="Heading3"/>
        <w:keepNext w:val="true"/>
        <w:numPr>
          <w:ilvl w:val="0"/>
          <w:numId w:val="0"/>
        </w:numPr>
        <w:ind w:hanging="0" w:left="0"/>
        <w:rPr/>
      </w:pPr>
      <w:r>
        <w:rPr/>
        <w:t>1) Các lượt vượt dung sai vị trí</w:t>
      </w:r>
    </w:p>
    <w:p>
      <w:pPr>
        <w:pStyle w:val="tablehead"/>
        <w:keepNext w:val="true"/>
        <w:numPr>
          <w:ilvl w:val="0"/>
          <w:numId w:val="0"/>
        </w:numPr>
        <w:ind w:hanging="0" w:left="0"/>
        <w:rPr/>
      </w:pPr>
      <w:r>
        <w:rPr/>
        <w:t>BẢNG XXIII. CÁC LƯỢT KHÔNG ĐẠT TRONG HAI BỘ DỮ LIỆU</w:t>
      </w:r>
    </w:p>
    <w:tbl>
      <w:tblPr>
        <w:tblW w:w="4865" w:type="dxa"/>
        <w:jc w:val="center"/>
        <w:tblInd w:w="0" w:type="dxa"/>
        <w:tblLayout w:type="fixed"/>
        <w:tblCellMar>
          <w:top w:w="44" w:type="dxa"/>
          <w:left w:w="38" w:type="dxa"/>
          <w:bottom w:w="44" w:type="dxa"/>
          <w:right w:w="38" w:type="dxa"/>
        </w:tblCellMar>
        <w:tblLook w:val="04a0" w:noHBand="0" w:noVBand="1" w:firstColumn="1" w:lastRow="0" w:lastColumn="0" w:firstRow="1"/>
      </w:tblPr>
      <w:tblGrid>
        <w:gridCol w:w="1574"/>
        <w:gridCol w:w="984"/>
        <w:gridCol w:w="1406"/>
        <w:gridCol w:w="900"/>
      </w:tblGrid>
      <w:tr>
        <w:trPr>
          <w:tblHeader w:val="true"/>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b/>
              </w:rPr>
              <w:t>Tuyến/bộ lập kế hoạch</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Phương án/lần</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Trạng thái</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b/>
              </w:rPr>
              <w:t>Sai số đích (m)</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R03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KS</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0,102385</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Theta*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G / KS</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0,100234</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1,580262</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Dijkstra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0,685907</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Smac 2D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3</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3,465366</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Smac 2D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1</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1,148750</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R05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Kết thúc trước đích</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3,655099</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Hybrid</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P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0,101583</w:t>
            </w:r>
          </w:p>
        </w:tc>
      </w:tr>
      <w:tr>
        <w:trPr>
          <w:cantSplit w:val="true"/>
        </w:trPr>
        <w:tc>
          <w:tcPr>
            <w:tcW w:w="157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jc w:val="left"/>
              <w:rPr/>
            </w:pPr>
            <w:r>
              <w:rPr/>
              <w:t>R04 / Theta*</w:t>
            </w:r>
          </w:p>
        </w:tc>
        <w:tc>
          <w:tcPr>
            <w:tcW w:w="984"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C / 4</w:t>
            </w:r>
          </w:p>
        </w:tc>
        <w:tc>
          <w:tcPr>
            <w:tcW w:w="1406"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Vượt ngưỡng vị trí</w:t>
            </w:r>
          </w:p>
        </w:tc>
        <w:tc>
          <w:tcPr>
            <w:tcW w:w="900" w:type="dxa"/>
            <w:tcBorders>
              <w:top w:val="single" w:sz="4" w:space="0" w:color="777777"/>
              <w:left w:val="single" w:sz="4" w:space="0" w:color="777777"/>
              <w:bottom w:val="single" w:sz="4" w:space="0" w:color="777777"/>
              <w:right w:val="single" w:sz="4" w:space="0" w:color="777777"/>
            </w:tcBorders>
            <w:vAlign w:val="center"/>
          </w:tcPr>
          <w:p>
            <w:pPr>
              <w:pStyle w:val="ScientificTable"/>
              <w:keepNext w:val="true"/>
              <w:rPr/>
            </w:pPr>
            <w:r>
              <w:rPr/>
              <w:t>0,100358</w:t>
            </w:r>
          </w:p>
        </w:tc>
      </w:tr>
    </w:tbl>
    <w:p>
      <w:pPr>
        <w:pStyle w:val="Normal"/>
        <w:keepNext w:val="true"/>
        <w:spacing w:lineRule="exact" w:line="40" w:before="0" w:after="0"/>
        <w:rPr/>
      </w:pPr>
      <w:r>
        <w:rPr/>
      </w:r>
    </w:p>
    <w:p>
      <w:pPr>
        <w:pStyle w:val="ScientificNote"/>
        <w:keepLines/>
        <w:rPr/>
      </w:pPr>
      <w:r>
        <w:rPr/>
        <w:t>KS là ma trận khảo sát 125 lượt; số 1–5 là lần lặp trong bộ 250 lượt. G: đường gốc; P: PSTMO; C: Constrained. Hai bộ được báo riêng, không cộng mẫu số để tính một tỷ lệ thành công chung. “Kết thúc trước đích” mô tả trạng thái quan sát được, chưa xác định nguyên nhân và không đồng nghĩa đã dừng vật lý.</w:t>
      </w:r>
    </w:p>
    <w:p>
      <w:pPr>
        <w:pStyle w:val="BodyText"/>
        <w:rPr/>
      </w:pPr>
      <w:r>
        <w:rPr/>
        <w:t>Trong ma trận khảo sát, PSTMO/Smac Hybrid tại R03 có sai số vị trí cuối 0,102385 m; đường gốc/Theta* tại R04 có sai số 0,100234 m. Cả hai tác vụ đều hoàn tất và robot đã dừng, nhưng vượt ngưỡng đánh giá 0,10 m. Giữ nguyên phân loại này tránh việc điều chỉnh dung sai sau khi biết kết quả. Những lượt này được tính vào tỷ lệ thất bại và không được dùng như thời gian hoàn thành hợp lệ khi so sánh ghép cặp.</w:t>
      </w:r>
    </w:p>
    <w:p>
      <w:pPr>
        <w:pStyle w:val="BodyText"/>
        <w:rPr/>
      </w:pPr>
      <w:r>
        <w:rPr/>
        <w:t>Bộ lặp ghi thêm hai trường hợp R04 vượt ngưỡng: PSTMO/Smac Hybrid ở lần 4 đạt sai số 0,101583 m; Constrained/Theta* ở lần 4 đạt 0,100358 m. Phần vượt lần lượt khoảng 1,6 mm và 0,4 mm, nhỏ hơn nhiều so với sai số của các lượt kết thúc xa đích. Các con số phản ánh trạng thái mô phỏng, không biểu thị độ chính xác đo trên robot thực ở mức dưới milimét.</w:t>
      </w:r>
    </w:p>
    <w:p>
      <w:pPr>
        <w:pStyle w:val="Heading3"/>
        <w:keepNext w:val="true"/>
        <w:numPr>
          <w:ilvl w:val="0"/>
          <w:numId w:val="0"/>
        </w:numPr>
        <w:ind w:hanging="0" w:left="0"/>
        <w:rPr/>
      </w:pPr>
      <w:r>
        <w:rPr/>
        <w:t>2) Các lượt kết thúc trước đích</w:t>
      </w:r>
    </w:p>
    <w:p>
      <w:pPr>
        <w:pStyle w:val="BodyText"/>
        <w:rPr/>
      </w:pPr>
      <w:r>
        <w:rPr/>
        <w:t>Năm thất bại còn lại tập trung tại R05 trong bộ lặp, gồm ba lượt PSTMO và hai lượt Constrained. Sai số vị trí còn lại từ 0,686 đến 3,655 m. Các lượt này kết thúc trước khi hoàn thành hành trình, khác về bản chất với những trường hợp chỉ vượt nhẹ dung sai. Bảng XXIII giữ rõ tuyến, bộ lập kế hoạch, phương án và lần chạy để đối chiếu dữ liệu.</w:t>
      </w:r>
    </w:p>
    <w:p>
      <w:pPr>
        <w:pStyle w:val="BodyText"/>
        <w:rPr/>
      </w:pPr>
      <w:r>
        <w:rPr/>
        <w:t>Hình 18 cho thấy phần lớn sai số nằm dưới ngưỡng, nhưng một số lượt R05 dừng phép thử khi còn xa đích. Thời gian trung bình trên các cặp cùng đạt chưa bao gồm chi phí phục hồi những thất bại này. Vì chưa có một chính sách phục hồi chung được đo, không thể quy đổi kết quả thành thời gian chu kỳ vận hành thực tế có tính đến thử lại.</w:t>
      </w:r>
    </w:p>
    <w:p>
      <w:pPr>
        <w:pStyle w:val="BodyText"/>
        <w:rPr/>
      </w:pPr>
      <w:r>
        <w:rPr/>
        <w:t>Dữ liệu hiện tại xác định được trạng thái kết thúc, chưa chứng minh nguyên nhân cụ thể của từng thất bại. Việc quy lỗi cho hình dạng đường, bộ điều khiển hoặc định vị cần đối chiếu đồng bộ nhật ký và tín hiệu ở thời điểm sự kiện. Các thất bại xa đích xuất hiện ở cả PSTMO và Constrained; số lượng hiện có chưa đủ để gán ưu thế về độ tin cậy cho một phương án.</w:t>
      </w:r>
    </w:p>
    <w:p>
      <w:pPr>
        <w:pStyle w:val="Normal"/>
        <w:keepNext w:val="true"/>
        <w:spacing w:before="60" w:after="0"/>
        <w:ind w:hanging="0"/>
        <w:jc w:val="center"/>
        <w:rPr/>
      </w:pPr>
      <w:r>
        <w:rPr/>
        <w:drawing>
          <wp:inline distT="0" distB="0" distL="0" distR="0">
            <wp:extent cx="3089910" cy="2378710"/>
            <wp:effectExtent l="0" t="0" r="0" b="0"/>
            <wp:doc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pic:cNvPicPr>
                      <a:picLocks noChangeAspect="1" noChangeArrowheads="1"/>
                    </pic:cNvPicPr>
                  </pic:nvPicPr>
                  <pic:blipFill>
                    <a:blip r:embed="rId19"/>
                    <a:stretch>
                      <a:fillRect/>
                    </a:stretch>
                  </pic:blipFill>
                  <pic:spPr bwMode="auto">
                    <a:xfrm>
                      <a:off x="0" y="0"/>
                      <a:ext cx="3089910" cy="2378710"/>
                    </a:xfrm>
                    <a:prstGeom prst="rect">
                      <a:avLst/>
                    </a:prstGeom>
                  </pic:spPr>
                </pic:pic>
              </a:graphicData>
            </a:graphic>
          </wp:inline>
        </w:drawing>
      </w:r>
    </w:p>
    <w:p>
      <w:pPr>
        <w:pStyle w:val="figurecaption"/>
        <w:keepNext w:val="false"/>
        <w:keepLines/>
        <w:numPr>
          <w:ilvl w:val="0"/>
          <w:numId w:val="0"/>
        </w:numPr>
        <w:ind w:hanging="0" w:left="0"/>
        <w:rPr/>
      </w:pPr>
      <w:r>
        <w:rPr/>
        <w:t>Hình 18. 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w:t>
      </w:r>
    </w:p>
    <w:p>
      <w:pPr>
        <w:pStyle w:val="Heading3"/>
        <w:keepNext w:val="true"/>
        <w:numPr>
          <w:ilvl w:val="0"/>
          <w:numId w:val="0"/>
        </w:numPr>
        <w:ind w:hanging="0" w:left="0"/>
        <w:rPr/>
      </w:pPr>
      <w:r>
        <w:rPr/>
        <w:t>3) Phạm vi kết luận</w:t>
      </w:r>
    </w:p>
    <w:p>
      <w:pPr>
        <w:pStyle w:val="BodyText"/>
        <w:rPr/>
      </w:pPr>
      <w:r>
        <w:rPr/>
        <w:t>Khảo sát dùng một bản đồ tĩnh, một robot mô phỏng và một cấu hình RPP; chưa xét vật cản động, nhiều mức khởi tạo ngẫu nhiên hay nhiễu. R01 khác đợt thu R02–R05; bộ lặp chỉ gồm PSTMO và Constrained. Chưa xác nhận ngẫu nhiên hóa thứ tự chạy; bốn tiến trình dùng chung tài nguyên máy dù tách miền truyền thông. Điều này hạn chế suy rộng và diễn giải thời lượng xử lý.</w:t>
      </w:r>
    </w:p>
    <w:p>
      <w:pPr>
        <w:pStyle w:val="BodyText"/>
        <w:rPr/>
      </w:pPr>
      <w:r>
        <w:rPr/>
        <w:t>Kết quả chỉ đại diện cho các cấu hình ở Mục III-A, chưa có tinh chỉnh với cùng ngân sách đánh giá tham số trên tập hiệu chỉnh tách biệt. Phân tích cặp cùng đạt có thể thiên lệch về các nhiệm vụ dễ hoàn thành; vì vậy phải đọc cùng tỷ lệ thành công và các trường hợp không đạt.</w:t>
      </w:r>
    </w:p>
    <w:p>
      <w:pPr>
        <w:pStyle w:val="BodyText"/>
        <w:rPr/>
      </w:pPr>
      <w:r>
        <w:rPr/>
        <w:t>Mở rộng sang môi trường động cần giải quyết thêm thông tin dự đoán vật cản và cập nhật quỹ đạo. Ahn và cộng sự [53] tích hợp dự đoán với trường thế nhân tạo và Bézier cho xe tự động; Xu và cộng sự [54] dùng thị giác và tối ưu B-spline để tránh vật cản động cho UAV. Hai ví dụ thuộc mô hình phương tiện khác, nên chỉ chỉ ra những yêu cầu nghiên cứu bổ sung, không chứng minh PSTMO sẽ giữ hiệu quả khi chuyển sang môi trường động. Khảo sát hiện tại chưa đánh giá các thành phần cảm nhận và dự đoán đó.</w:t>
      </w:r>
    </w:p>
    <w:p>
      <w:pPr>
        <w:pStyle w:val="BodyText"/>
        <w:rPr/>
      </w:pPr>
      <w:r>
        <w:rPr/>
        <w:t>Lợi ích hình học và thực thi của PSTMO đi kèm đánh đổi về khoảng hở, sai số cuối và thời lượng xử lý. Chưa kiểm chứng trên robot thực hoặc loại bỏ từng thành phần trên cùng phiên bản để tách đóng góp của tiền xử lý, tìm hình dạng và quy hoạch động. Kiểm tra hình bao phụ thuộc bản đồ và lấy mẫu. Dữ liệu chưa hỗ trợ kết luận về điện năng, rung tải hàng hay ưu thế tỷ lệ thành công.</w:t>
      </w:r>
    </w:p>
    <w:p>
      <w:pPr>
        <w:pStyle w:val="Heading1"/>
        <w:numPr>
          <w:ilvl w:val="0"/>
          <w:numId w:val="0"/>
        </w:numPr>
        <w:ind w:hanging="0" w:left="0"/>
        <w:jc w:val="center"/>
        <w:rPr/>
      </w:pPr>
      <w:r>
        <w:t xml:space="preserve">IV KẾT LUẬN</w:t>
      </w:r>
    </w:p>
    <w:p>
      <w:pPr>
        <w:pStyle w:val="BodyText"/>
        <w:rPr/>
      </w:pPr>
      <w:r>
        <w:t xml:space="preserve">Bài báo trình bày PSTMO để hậu xử lý đường đi cho robot vi sai trong môi trường kho, với trọng tâm là phối hợp lựa chọn chuyển tiếp Bézier và quay tại chỗ dưới ràng buộc cạnh chung. Kiểm tra hình bao lấy mẫu, giới hạn chuyển động và so sánh thời gian trên cửa sổ chung xác định tập phương án; quy hoạch động chọn chuỗi có tổng chi phí nhỏ nhất trong tập hữu hạn đó. Cách phát biểu đưa sự phụ thuộc giữa các góc liên tiếp vào quyết định hậu xử lý, nhưng không tối ưu trực tiếp thời gian thực thi hay toàn bộ không gian đường liên tục.</w:t>
      </w:r>
    </w:p>
    <w:p>
      <w:pPr>
        <w:pStyle w:val="BodyText"/>
        <w:rPr/>
      </w:pPr>
      <w:r>
        <w:t xml:space="preserve">Trong bộ kiểm chứng lặp 250 lượt, phân tích 118 cặp cùng đạt bằng trung bình đều của 25 nhóm tuyến–bộ lập kế hoạch ghi nhận PSTMO giảm thời gian thực thi 2,857 s, RMSE bám đường 2,985 mm và tích phân bình phương độ cong quỹ đạo thực thi 1,038 m</w:t>
      </w:r>
      <w:r>
        <w:rPr>
          <w:vertAlign w:val="superscript"/>
        </w:rPr>
        <w:t xml:space="preserve">−1</w:t>
      </w:r>
      <w:r>
        <w:t xml:space="preserve"> so với cấu hình Constrained được thử nghiệm. Khoảng tin cậy bootstrap nhóm 95% của cả ba chênh lệch nằm dưới không; các kiểm định Wilcoxon tương ứng có p sau hiệu chỉnh Holm nhỏ hơn 0,05. Đây là bằng chứng về lợi ích trung bình có điều kiện trong thiết kế khảo sát, không phải cải thiện ở mọi đầu vào hoặc giới hạn hiệu năng của Constrained Smoother. Ma trận 125 lượt bổ sung so sánh với các phương án còn lại nhưng không thay thế kiểm chứng lặp cho từng đối chứng.</w:t>
      </w:r>
    </w:p>
    <w:p>
      <w:pPr>
        <w:pStyle w:val="BodyText"/>
        <w:rPr/>
      </w:pPr>
      <w:r>
        <w:t xml:space="preserve">Lợi ích không xuất hiện đồng thời trên mọi tiêu chí. Trong cùng phân tích theo nhóm, khoảng hở trên đường tham chiếu giảm 35,161 mm, sai số vị trí cuối tăng 3,380 mm và thời lượng hậu xử lý tăng 71,220 ms. Thời lượng này được đo theo đồng hồ mô phỏng, không phải thời gian CPU. PSTMO đạt 121/125 lượt và Constrained đạt 122/125 lượt trong bộ lặp; dữ liệu chưa xác lập ưu thế tỷ lệ thành công, tương đương hoặc không kém hơn. Vì vậy, việc sử dụng PSTMO cần cân nhắc lợi ích về thời gian và bám đường cùng yêu cầu khoảng hở, độ chính xác dừng và chi phí xử lý của ứng dụng, không suy thành ưu thế an toàn hay năng suất vận hành.</w:t>
      </w:r>
    </w:p>
    <w:p>
      <w:pPr>
        <w:pStyle w:val="BodyText"/>
        <w:rPr/>
      </w:pPr>
      <w:r>
        <w:t xml:space="preserve">Chứng cứ hiện giới hạn ở một bản đồ tĩnh, một robot mô phỏng và một cấu hình điều khiển. Phân tích cặp cùng đạt có thể chịu thiên lệch chọn mẫu; các nhóm còn chia sẻ tuyến, bộ lập kế hoạch và bản đồ. Chưa có thí nghiệm tách đóng góp của DP hoặc lựa chọn quay tại chỗ, chưa có bộ lặp với Simple và chưa kiểm chứng trên robot thực. Các bước tiếp theo cần đối chiếu DP với lựa chọn cục bộ trên cùng tập ứng viên, kiểm chứng riêng quyết định Bézier–quay tại chỗ và lặp so sánh với Simple; sau đó khảo sát độ nhạy tham số trên tập hiệu chỉnh tách biệt, nhiều bản đồ và robot thực được hiệu chuẩn. Cũng cần đo khoảng hở khi thực thi và chi phí phục hồi thất bại. Kiểm tra hình bao hiện tại vẫn phụ thuộc bản đồ và mật độ lấy mẫu, chưa chứng minh an toàn liên tục. Những kiểm chứng này sẽ giúp xác định khi nào lợi ích của lựa chọn chuyển tiếp bù được các đánh đổi đã quan sát.</w:t>
      </w:r>
    </w:p>
    <w:p>
      <w:pPr>
        <w:pStyle w:val="Heading1"/>
        <w:numPr>
          <w:ilvl w:val="0"/>
          <w:numId w:val="0"/>
        </w:numPr>
        <w:ind w:hanging="0" w:left="0"/>
        <w:jc w:val="center"/>
        <w:rPr/>
      </w:pPr>
      <w:r>
        <w:rPr/>
        <w:t>TÀI LIỆU THAM KHẢO</w:t>
      </w:r>
    </w:p>
    <w:p>
      <w:pPr>
        <w:pStyle w:val="ScientificReference"/>
        <w:keepLines/>
        <w:jc w:val="left"/>
        <w:rPr/>
      </w:pPr>
      <w:r>
        <w:t xml:space="preserve">[1] T. Le-Anh and M. B. M. de Koster, “A review of design and control of automated guided vehicle systems,” European Journal of Operational Research 171(1):1–23, 2006.</w:t>
      </w:r>
    </w:p>
    <w:p>
      <w:pPr>
        <w:pStyle w:val="ScientificReference"/>
        <w:keepLines/>
        <w:jc w:val="left"/>
        <w:rPr/>
      </w:pPr>
      <w:r>
        <w:t xml:space="preserve">[2] G. Fragapane, R. de Koster, F. Sgarbossa, and J. O. Strandhagen, “Planning and control of autonomous mobile robots for intralogistics: Literature review and research agenda,” European Journal of Operational Research, vol. 294, no. 2, pp. 405–426, 2021, doi: 10.1016/j.ejor.2021.01.019.</w:t>
      </w:r>
    </w:p>
    <w:p>
      <w:pPr>
        <w:pStyle w:val="ScientificReference"/>
        <w:keepLines/>
        <w:jc w:val="left"/>
        <w:rPr/>
      </w:pPr>
      <w:r>
        <w:t xml:space="preserve">[3] L. Yang et al., “Path Planning Technique for Mobile Robots: A Review,” Machines 11(10):980, 2023, doi: 10.3390/machines11100980.</w:t>
      </w:r>
    </w:p>
    <w:p>
      <w:pPr>
        <w:pStyle w:val="ScientificReference"/>
        <w:keepLines/>
        <w:jc w:val="left"/>
        <w:rPr/>
      </w:pPr>
      <w:r>
        <w:t xml:space="preserve">[4] A. Ravankar, A. A. Ravankar, Y. Kobayashi, Y. Hoshino, and C.-C. Peng, “Path smoothing techniques in robot navigation: State-of-the-art, current and future challenges,” Sensors, vol. 18, no. 9, art. 3170, 2018, doi: 10.3390/s18093170.</w:t>
      </w:r>
    </w:p>
    <w:p>
      <w:pPr>
        <w:pStyle w:val="ScientificReference"/>
        <w:keepLines/>
        <w:jc w:val="left"/>
        <w:rPr/>
      </w:pPr>
      <w:r>
        <w:t xml:space="preserve">[5] E. W. Dijkstra, “A Note on Two Problems in Connexion with Graphs,” Numerische Mathematik 1:269–271, 1959, doi: 10.1007/BF01386390.</w:t>
      </w:r>
    </w:p>
    <w:p>
      <w:pPr>
        <w:pStyle w:val="ScientificReference"/>
        <w:keepLines/>
        <w:jc w:val="left"/>
        <w:rPr/>
      </w:pPr>
      <w:r>
        <w:t xml:space="preserve">[6] P. Hart, N. Nilsson, and B. Raphael, “A Formal Basis for the Heuristic Determination of Minimum Cost Paths,” IEEE Transactions on Systems Science and Cybernetics 4:100–107, 1968, doi: 10.1109/TSSC.1968.300136.</w:t>
      </w:r>
    </w:p>
    <w:p>
      <w:pPr>
        <w:pStyle w:val="ScientificReference"/>
        <w:keepLines/>
        <w:jc w:val="left"/>
        <w:rPr/>
      </w:pPr>
      <w:r>
        <w:t xml:space="preserve">[7] A. Nash, K. Daniel, S. Koenig, and A. Felner, “Theta*: Any-angle path planning on grids,” in Proc. AAAI, 2007. Available: https://idm-lab.org/bib/abstracts/papers/aaai07a.pdf.</w:t>
      </w:r>
    </w:p>
    <w:p>
      <w:pPr>
        <w:pStyle w:val="ScientificReference"/>
        <w:keepLines/>
        <w:jc w:val="left"/>
        <w:rPr/>
      </w:pPr>
      <w:r>
        <w:t xml:space="preserve">[8] D. Dolgov, S. Thrun, M. Montemerlo, and J. Diebel, “Practical Search Techniques in Path Planning for Autonomous Driving,” in Proc. AAAI Workshop on Search in Artificial Intelligence and Robotics, 2008.</w:t>
      </w:r>
    </w:p>
    <w:p>
      <w:pPr>
        <w:pStyle w:val="ScientificReference"/>
        <w:keepLines/>
        <w:jc w:val="left"/>
        <w:rPr/>
      </w:pPr>
      <w:r>
        <w:t xml:space="preserve">[9] S. Macenski, M. Booker, J. Wallace, and T. Fischer, “Open-source, cost-aware kinematically feasible planning for mobile and surface robotics,” arXiv:2401.13078v2, 2025. Available: https://arxiv.org/abs/2401.13078v2.</w:t>
      </w:r>
    </w:p>
    <w:p>
      <w:pPr>
        <w:pStyle w:val="ScientificReference"/>
        <w:keepLines/>
        <w:jc w:val="left"/>
        <w:rPr/>
      </w:pPr>
      <w:r>
        <w:t xml:space="preserve">[10] A. Piazzi, C. Guarino Lo Bianco, M. Bertozzi, A. Fascioli, and A. Broggi, “Quintic G²-splines for the iterative steering of vision-based autonomous vehicles,” IEEE Transactions on Intelligent Transportation Systems, vol. 3, pp. 27–36, 2002, doi: 10.1109/6979.994793.</w:t>
      </w:r>
    </w:p>
    <w:p>
      <w:pPr>
        <w:pStyle w:val="ScientificReference"/>
        <w:keepLines/>
        <w:jc w:val="left"/>
        <w:rPr/>
      </w:pPr>
      <w:r>
        <w:t xml:space="preserve">[11] Phan Gia Luan and Nguyen Truong Thinh, “C2 piecewise cubic Bezier curve based smoothing path for mobile robot,” International Journal of Mechanical Engineering and Robotics Research, vol. 10, no. 9, pp. 519–525, 2021, doi: 10.18178/ijmerr.10.9.519-525.</w:t>
      </w:r>
    </w:p>
    <w:p>
      <w:pPr>
        <w:pStyle w:val="ScientificReference"/>
        <w:keepLines/>
        <w:jc w:val="left"/>
        <w:rPr/>
      </w:pPr>
      <w:r>
        <w:t xml:space="preserve">[12] M. Brezak and I. Petrović, “Path smoothing using clothoids for differential drive mobile robots,” IFAC Proceedings Volumes, vol. 44, no. 1, pp. 1133–1138, 2011, doi: 10.3182/20110828-6-IT-1002.02944.</w:t>
      </w:r>
    </w:p>
    <w:p>
      <w:pPr>
        <w:pStyle w:val="ScientificReference"/>
        <w:keepLines/>
        <w:jc w:val="left"/>
        <w:rPr/>
      </w:pPr>
      <w:r>
        <w:t xml:space="preserve">[13] J. Pan, L. Zhang, and D. Manocha, “Collision-free and curvature-continuous path smoothing in cluttered environments,” in Robotics: Science and Systems, 2011. Available: https://www.roboticsproceedings.org/rss07/p32.pdf.</w:t>
      </w:r>
    </w:p>
    <w:p>
      <w:pPr>
        <w:pStyle w:val="ScientificReference"/>
        <w:keepLines/>
        <w:jc w:val="left"/>
        <w:rPr/>
      </w:pPr>
      <w:r>
        <w:t xml:space="preserve">[14] I. Andrei, M. Kloetzer, C. Mahulea, and C. Dosoftei, “Smooth path planning with safety margins using Piece-Wise Bezier curves,” in Proc. IEEE ETFA, 2025, pp. 1–4, doi: 10.1109/ETFA65518.2025.11205537.</w:t>
      </w:r>
    </w:p>
    <w:p>
      <w:pPr>
        <w:pStyle w:val="ScientificReference"/>
        <w:keepLines/>
        <w:jc w:val="left"/>
        <w:rPr/>
      </w:pPr>
      <w:r>
        <w:t xml:space="preserve">[15] S. Quinlan and O. Khatib, “Elastic Bands: Connecting Path Planning and Control,” IEEE ICRA 1993, pp. 802–807, 1993.</w:t>
      </w:r>
    </w:p>
    <w:p>
      <w:pPr>
        <w:pStyle w:val="ScientificReference"/>
        <w:keepLines/>
        <w:jc w:val="left"/>
        <w:rPr/>
      </w:pPr>
      <w:r>
        <w:t xml:space="preserve">[16] A. Richardson and E. Olson, “Iterative path optimization for practical robot planning,” in Proc. IEEE/RSJ IROS, 2011, pp. 3881–3886. Available: https://april.eecs.umich.edu/pdfs/richardson2011.pdf.</w:t>
      </w:r>
    </w:p>
    <w:p>
      <w:pPr>
        <w:pStyle w:val="ScientificReference"/>
        <w:keepLines/>
        <w:jc w:val="left"/>
        <w:rPr/>
      </w:pPr>
      <w:r>
        <w:t xml:space="preserve">[17] H. Andreasson, J. Saarinen, M. Cirillo, T. Stoyanov, and A. J. Lilienthal, “Drive the Drive: From Discrete Motion Plans to Smooth Drivable Trajectories,” Robotics 3(4):400–416, 2014, doi: 10.3390/robotics3040400.</w:t>
      </w:r>
    </w:p>
    <w:p>
      <w:pPr>
        <w:pStyle w:val="ScientificReference"/>
        <w:keepLines/>
        <w:jc w:val="left"/>
        <w:rPr/>
      </w:pPr>
      <w:r>
        <w:t xml:space="preserve">[18] H. Andreasson, J. Saarinen, M. Cirillo, T. Stoyanov, and A. J. Lilienthal, “Fast, continuous state path smoothing to improve navigation accuracy,” in Proc. IEEE ICRA, 2015, pp. 662–669, doi: 10.1109/ICRA.2015.7139250.</w:t>
      </w:r>
    </w:p>
    <w:p>
      <w:pPr>
        <w:pStyle w:val="ScientificReference"/>
        <w:keepLines/>
        <w:jc w:val="left"/>
        <w:rPr/>
      </w:pPr>
      <w:r>
        <w:t xml:space="preserve">[19] E. Heiden, L. Palmieri, S. Koenig, K. O. Arras, and G. S. Sukhatme, “Gradient-informed path smoothing for wheeled mobile robots,” in Proc. IEEE ICRA, 2018. Available: https://eric-heiden.com/publication/2018-grips-icra/.</w:t>
      </w:r>
    </w:p>
    <w:p>
      <w:pPr>
        <w:pStyle w:val="ScientificReference"/>
        <w:keepLines/>
        <w:jc w:val="left"/>
        <w:rPr/>
      </w:pPr>
      <w:r>
        <w:t xml:space="preserve">[20] N. Ratliff, M. Zucker, J. A. Bagnell, and S. Srinivasa, “CHOMP: Gradient Optimization Techniques for Efficient Motion Planning,” IEEE ICRA, 2009.</w:t>
      </w:r>
    </w:p>
    <w:p>
      <w:pPr>
        <w:pStyle w:val="ScientificReference"/>
        <w:keepLines/>
        <w:jc w:val="left"/>
        <w:rPr/>
      </w:pPr>
      <w:r>
        <w:t xml:space="preserve">[21] M. Kalakrishnan, S. Chitta, E. Theodorou, P. Pastor, and S. Schaal, “STOMP: Stochastic Trajectory Optimization for Motion Planning,” IEEE ICRA 2011, 2011.</w:t>
      </w:r>
    </w:p>
    <w:p>
      <w:pPr>
        <w:pStyle w:val="ScientificReference"/>
        <w:keepLines/>
        <w:jc w:val="left"/>
        <w:rPr/>
      </w:pPr>
      <w:r>
        <w:t xml:space="preserve">[22] Z. Zhu, E. Schmerling, and M. Pavone, “A convex optimization approach to smooth trajectories for motion planning with car-like robots,” in Proc. IEEE CDC, 2015, pp. 835–842. Available: https://arxiv.org/abs/1506.01085.</w:t>
      </w:r>
    </w:p>
    <w:p>
      <w:pPr>
        <w:pStyle w:val="ScientificReference"/>
        <w:keepLines/>
        <w:jc w:val="left"/>
        <w:rPr/>
      </w:pPr>
      <w:r>
        <w:t xml:space="preserve">[23] C. Rösmann, F. Hoffmann, and T. Bertram, “Timed-Elastic-Bands for Time-Optimal Point-to-Point Nonlinear Model Predictive Control,” European Control Conference, 2015, doi: 10.1109/ECC.2015.7331052.</w:t>
      </w:r>
    </w:p>
    <w:p>
      <w:pPr>
        <w:pStyle w:val="ScientificReference"/>
        <w:keepLines/>
        <w:jc w:val="left"/>
        <w:rPr/>
      </w:pPr>
      <w:r>
        <w:t xml:space="preserve">[24] C. Rösmann, F. Hoffmann, and T. Bertram, “Integrated online trajectory planning and optimization in distinctive topologies,” Robotics and Autonomous Systems, vol. 88, pp. 142–153, 2017, doi: 10.1016/j.robot.2016.11.007.</w:t>
      </w:r>
    </w:p>
    <w:p>
      <w:pPr>
        <w:pStyle w:val="ScientificReference"/>
        <w:keepLines/>
        <w:jc w:val="left"/>
        <w:rPr/>
      </w:pPr>
      <w:r>
        <w:t xml:space="preserve">[25] M. Zhang et al., “Universal trajectory optimization framework for differential drive robot class,” arXiv:2409.07924v3, 2025. Available: https://arxiv.org/abs/2409.07924v3.</w:t>
      </w:r>
    </w:p>
    <w:p>
      <w:pPr>
        <w:pStyle w:val="ScientificReference"/>
        <w:keepLines/>
        <w:jc w:val="left"/>
        <w:rPr/>
      </w:pPr>
      <w:r>
        <w:t xml:space="preserve">[26] M. Benko Loknar, G. Klančar, and S. Blažič, “Minimum-time trajectory generation for wheeled mobile systems using Bézier curves with constraints on velocity, acceleration and jerk,” Sensors, vol. 23, no. 4, art. 1982, 2023, doi: 10.3390/s23041982.</w:t>
      </w:r>
    </w:p>
    <w:p>
      <w:pPr>
        <w:pStyle w:val="ScientificReference"/>
        <w:keepLines/>
        <w:jc w:val="left"/>
        <w:rPr/>
      </w:pPr>
      <w:r>
        <w:t xml:space="preserve">[27] S. Blažič, G. Klančar, M. Benko Loknar, and I. Škrjanc, “Warehouse path planning using low-order Bézier curves with minimum-time optimization,” IFAC-PapersOnLine, vol. 56, no. 2, pp. 11815–11820, 2023, doi: 10.1016/j.ifacol.2023.10.578.</w:t>
      </w:r>
    </w:p>
    <w:p>
      <w:pPr>
        <w:pStyle w:val="ScientificReference"/>
        <w:keepLines/>
        <w:jc w:val="left"/>
        <w:rPr/>
      </w:pPr>
      <w:r>
        <w:t xml:space="preserve">[28] J. Choi, “Kinodynamic motion planning for autonomous vehicles,” International Journal of Advanced Robotic Systems, 2014, doi: 10.5772/58683.</w:t>
      </w:r>
    </w:p>
    <w:p>
      <w:pPr>
        <w:pStyle w:val="ScientificReference"/>
        <w:keepLines/>
        <w:jc w:val="left"/>
        <w:rPr/>
      </w:pPr>
      <w:r>
        <w:t xml:space="preserve">[29] Nav2, “Constrained Smoother,” Nav2 Jazzy API documentation. Available: https://api.nav2.org/nav2-jazzy/html/md_nav2_constrained_smoother_README.html. Accessed: Oct. 23, 2026.</w:t>
      </w:r>
    </w:p>
    <w:p>
      <w:pPr>
        <w:pStyle w:val="ScientificReference"/>
        <w:keepLines/>
        <w:jc w:val="left"/>
        <w:rPr/>
      </w:pPr>
      <w:r>
        <w:t xml:space="preserve">[30] N. Persson, M. C. Ekström, M. Ekström, and A. V. Papadopoulos, “On the initialization problem for Timed-Elastic Bands,” IFAC-PapersOnLine, vol. 56, no. 2, pp. 11802–11807, 2023, doi: 10.1016/j.ifacol.2023.10.574.</w:t>
      </w:r>
    </w:p>
    <w:p>
      <w:pPr>
        <w:pStyle w:val="ScientificReference"/>
        <w:keepLines/>
        <w:jc w:val="left"/>
        <w:rPr/>
      </w:pPr>
      <w:r>
        <w:t xml:space="preserve">[31] S. Macenski, S. Singh, F. Martín, and J. Ginés, “Regulated pure pursuit for robot path tracking,” Autonomous Robots, vol. 47, pp. 685–694, 2023, doi: 10.1007/s10514-023-10097-6.</w:t>
      </w:r>
    </w:p>
    <w:p>
      <w:pPr>
        <w:pStyle w:val="ScientificReference"/>
        <w:keepLines/>
        <w:jc w:val="left"/>
        <w:rPr/>
      </w:pPr>
      <w:r>
        <w:t xml:space="preserve">[32] R. T. Farouki, “The Bernstein polynomial basis: A centennial retrospective,” Computer Aided Geometric Design, vol. 29, no. 6, pp. 379–419, 2012, doi: 10.1016/j.cagd.2012.03.001.</w:t>
      </w:r>
    </w:p>
    <w:p>
      <w:pPr>
        <w:pStyle w:val="ScientificReference"/>
        <w:keepLines/>
        <w:jc w:val="left"/>
        <w:rPr/>
      </w:pPr>
      <w:r>
        <w:t xml:space="preserve">[33] C. de Boor, “On Calculating with B-Splines,” Journal of Approximation Theory 6:50–62, 1972, doi: 10.1016/0021-9045(72)90080-9.</w:t>
      </w:r>
    </w:p>
    <w:p>
      <w:pPr>
        <w:pStyle w:val="ScientificReference"/>
        <w:keepLines/>
        <w:jc w:val="left"/>
        <w:rPr/>
      </w:pPr>
      <w:r>
        <w:t xml:space="preserve">[34] L. Piegl, “On NURBS: A Survey,” IEEE Computer Graphics and Applications 11(1):55–71, 1991, doi: 10.1109/38.67702.</w:t>
      </w:r>
    </w:p>
    <w:p>
      <w:pPr>
        <w:pStyle w:val="ScientificReference"/>
        <w:keepLines/>
        <w:jc w:val="left"/>
        <w:rPr/>
      </w:pPr>
      <w:r>
        <w:t xml:space="preserve">[35] Z. Habib and M. Sakai, “Circle to Circle Transition with a Single PH Quintic Spiral,” Scientiae Mathematicae Japonicae Online e-2007:361–371, 2007.</w:t>
      </w:r>
    </w:p>
    <w:p>
      <w:pPr>
        <w:pStyle w:val="ScientificReference"/>
        <w:keepLines/>
        <w:jc w:val="left"/>
        <w:rPr/>
      </w:pPr>
      <w:r>
        <w:t xml:space="preserve">[36] H. Delingette, M. Hebert, and K. Ikeuchi, “Trajectory Generation with Curvature Constraint Based on Energy Minimization,” IEEE/RSJ IROS 1991, pp. 206–211, 1991.</w:t>
      </w:r>
    </w:p>
    <w:p>
      <w:pPr>
        <w:pStyle w:val="ScientificReference"/>
        <w:keepLines/>
        <w:jc w:val="left"/>
        <w:rPr/>
      </w:pPr>
      <w:r>
        <w:t xml:space="preserve">[37] K. M. Lynch and F. C. Park, “Modern Robotics: Mechanics, Planning, and Control,” Cambridge University Press (preprint), 2017.</w:t>
      </w:r>
    </w:p>
    <w:p>
      <w:pPr>
        <w:pStyle w:val="ScientificReference"/>
        <w:keepLines/>
        <w:jc w:val="left"/>
        <w:rPr/>
      </w:pPr>
      <w:r>
        <w:t xml:space="preserve">[38] A. M. Shkel and V. Lumelsky, “Classification of the Dubins set,” Robotics and Autonomous Systems 34(4):179–202, 2001, doi: 10.1016/S0921-8890(00)00127-5.</w:t>
      </w:r>
    </w:p>
    <w:p>
      <w:pPr>
        <w:pStyle w:val="ScientificReference"/>
        <w:keepLines/>
        <w:jc w:val="left"/>
        <w:rPr/>
      </w:pPr>
      <w:r>
        <w:t xml:space="preserve">[39] J. Ayala, D. Kirszenblat, and H. Rubinstein, “A Geometric Approach to Shortest Bounded Curvature Paths,” arXiv:1403.4899, 2015.</w:t>
      </w:r>
    </w:p>
    <w:p>
      <w:pPr>
        <w:pStyle w:val="ScientificReference"/>
        <w:keepLines/>
        <w:jc w:val="left"/>
        <w:rPr/>
      </w:pPr>
      <w:r>
        <w:t xml:space="preserve">[40] J. A. Reeds and L. A. Shepp, “Optimal Paths for a Car That Goes Both Forwards and Backwards,” Pacific Journal of Mathematics 145:367–393, 1990.</w:t>
      </w:r>
    </w:p>
    <w:p>
      <w:pPr>
        <w:pStyle w:val="ScientificReference"/>
        <w:keepLines/>
        <w:jc w:val="left"/>
        <w:rPr/>
      </w:pPr>
      <w:r>
        <w:t xml:space="preserve">[41] S. M. LaValle, “Planning Algorithms,” Cambridge University Press, 2006.</w:t>
      </w:r>
    </w:p>
    <w:p>
      <w:pPr>
        <w:pStyle w:val="ScientificReference"/>
        <w:keepLines/>
        <w:jc w:val="left"/>
        <w:rPr/>
      </w:pPr>
      <w:r>
        <w:t xml:space="preserve">[42] S. Macenski, F. Martín, R. White, and J. Ginés Clavero, “The Marathon 2: A navigation system,” arXiv:2003.00368, 2020. Available: https://arxiv.org/abs/2003.00368.</w:t>
      </w:r>
    </w:p>
    <w:p>
      <w:pPr>
        <w:pStyle w:val="ScientificReference"/>
        <w:keepLines/>
        <w:jc w:val="left"/>
        <w:rPr/>
      </w:pPr>
      <w:r>
        <w:t xml:space="preserve">[43] S. Macenski, T. Moore, D. V. Lu, A. Merzlyakov, and M. Ferguson, “From the desks of ROS maintainers: A survey of modern &amp; capable mobile robotics algorithms in the Robot Operating System 2,” Robotics and Autonomous Systems, vol. 168, art. 104493, 2023, doi: 10.1016/j.robot.2023.104493.</w:t>
      </w:r>
    </w:p>
    <w:p>
      <w:pPr>
        <w:pStyle w:val="ScientificReference"/>
        <w:keepLines/>
        <w:jc w:val="left"/>
        <w:rPr/>
      </w:pPr>
      <w:r>
        <w:t xml:space="preserve">[44] Nav2, “Smoother Server,” Rolling configuration documentation, snapshot Oct. 9, 2026. [Online]. Available: https://docs.nav2.org/rolling/configuration_and_development/configuration_guide/core_servers/configuring_smoother_server/.</w:t>
      </w:r>
    </w:p>
    <w:p>
      <w:pPr>
        <w:pStyle w:val="ScientificReference"/>
        <w:keepLines/>
        <w:jc w:val="left"/>
        <w:rPr/>
      </w:pPr>
      <w:r>
        <w:t xml:space="preserve">[45] Nav2, “Simple Smoother,” Rolling configuration documentation, snapshot Oct. 9, 2026. [Online]. Available: https://docs.nav2.org/rolling/configuration_and_development/configuration_guide/smoother_plugins/configuring_simple_smoother/.</w:t>
      </w:r>
    </w:p>
    <w:p>
      <w:pPr>
        <w:pStyle w:val="ScientificReference"/>
        <w:keepLines/>
        <w:jc w:val="left"/>
        <w:rPr/>
      </w:pPr>
      <w:r>
        <w:t xml:space="preserve">[46] Nav2, “Savitzky-Golay Smoother,” Rolling configuration documentation, snapshot Oct. 9, 2026. [Online]. Available: https://docs.nav2.org/rolling/configuration_and_development/configuration_guide/smoother_plugins/savitzky_golay_smoother/configuring_savitzky_golay_smoother/.</w:t>
      </w:r>
    </w:p>
    <w:p>
      <w:pPr>
        <w:pStyle w:val="ScientificReference"/>
        <w:keepLines/>
        <w:jc w:val="left"/>
        <w:rPr/>
      </w:pPr>
      <w:r>
        <w:t xml:space="preserve">[47] Nav2, “Constrained Smoother,” Rolling configuration documentation, snapshot Oct. 9, 2026. [Online]. Available: https://docs.nav2.org/rolling/configuration_and_development/configuration_guide/smoother_plugins/constrained_smoother/configuring_constrained_smoother/.</w:t>
      </w:r>
    </w:p>
    <w:p>
      <w:pPr>
        <w:pStyle w:val="ScientificReference"/>
        <w:keepLines/>
        <w:jc w:val="left"/>
        <w:rPr/>
      </w:pPr>
      <w:r>
        <w:t xml:space="preserve">[48] A. Savitzky and M. J. E. Golay, “Smoothing and Differentiation of Data by Simplified Least Squares Procedures,” Analytical Chemistry 36(8):1627–1639, 1964, doi: 10.1021/ac60214a047.</w:t>
      </w:r>
    </w:p>
    <w:p>
      <w:pPr>
        <w:pStyle w:val="ScientificReference"/>
        <w:keepLines/>
        <w:jc w:val="left"/>
        <w:rPr/>
      </w:pPr>
      <w:r>
        <w:t xml:space="preserve">[49] Nav2, “Smoother server implementation,” navigation2, branch jazzy, nav2_smoother/src/smoother_server.cpp. [Online]. Available: https://github.com/ros-navigation/navigation2/blob/jazzy/nav2_smoother/src/smoother_server.cpp. Accessed: Oct. 13, 2026.</w:t>
      </w:r>
    </w:p>
    <w:p>
      <w:pPr>
        <w:pStyle w:val="ScientificReference"/>
        <w:keepLines/>
        <w:jc w:val="left"/>
        <w:rPr/>
      </w:pPr>
      <w:r>
        <w:t xml:space="preserve">[50] B. Efron, “Bootstrap methods: Another look at the jackknife,” The Annals of Statistics, vol. 7, no. 1, pp. 1–26, 1979, doi: 10.1214/aos/1176344552.</w:t>
      </w:r>
    </w:p>
    <w:p>
      <w:pPr>
        <w:pStyle w:val="ScientificReference"/>
        <w:keepLines/>
        <w:jc w:val="left"/>
        <w:rPr/>
      </w:pPr>
      <w:r>
        <w:t xml:space="preserve">[51] F. Wilcoxon, “Individual comparisons by ranking methods,” Biometrics Bulletin, vol. 1, no. 6, pp. 80–83, 1945, doi: 10.2307/3001968.</w:t>
      </w:r>
    </w:p>
    <w:p>
      <w:pPr>
        <w:pStyle w:val="ScientificReference"/>
        <w:keepLines/>
        <w:jc w:val="left"/>
        <w:rPr/>
      </w:pPr>
      <w:r>
        <w:t xml:space="preserve">[52] S. Holm, “A simple sequentially rejective multiple test procedure,” Scandinavian Journal of Statistics, vol. 6, no. 2, pp. 65–70, 1979.</w:t>
      </w:r>
    </w:p>
    <w:p>
      <w:pPr>
        <w:pStyle w:val="ScientificReference"/>
        <w:keepLines/>
        <w:jc w:val="left"/>
        <w:rPr/>
      </w:pPr>
      <w:r>
        <w:t xml:space="preserve">[53] S. Ahn, T. Oh, and J. Yoo, “Collision Avoidance Path Planning for Automated Vehicles Using Prediction Information and Artificial Potential Field,” Sensors 24(22):7292, 2024, doi: 10.3390/s24227292.</w:t>
      </w:r>
    </w:p>
    <w:p>
      <w:pPr>
        <w:pStyle w:val="ScientificReference"/>
        <w:keepLines/>
        <w:jc w:val="left"/>
        <w:rPr/>
      </w:pPr>
      <w:r>
        <w:t xml:space="preserve">[54] Z. Xu, Y. Xiu, X. Zhan, B. Chen, and K. Shimada, “Vision-aided UAV navigation and dynamic obstacle avoidance using gradient-based B-spline trajectory optimization,” arXiv:2209.07003v3, 2024.</w:t>
      </w:r>
    </w:p>
    <w:sectPr>
      <w:type w:val="continuous"/>
      <w:pgSz w:w="11906" w:h="16838"/>
      <w:pgMar w:left="907" w:right="907" w:gutter="0" w:header="0" w:top="1247" w:footer="0" w:bottom="1247"/>
      <w:cols w:num="2" w:space="360"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Times New Roman" w:cs="Times New Roman"/>
      <w:color w:val="000000"/>
      <w:kern w:val="0"/>
      <w:sz w:val="20"/>
      <w:szCs w:val="20"/>
      <w:lang w:val="vi-VN"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rFonts w:ascii="Times New Roman" w:hAnsi="Times New Roman" w:eastAsia="Times New Roman" w:cs="Times New Roman"/>
      <w:b w:val="false"/>
      <w:smallCaps/>
      <w:color w:val="000000"/>
      <w:sz w:val="20"/>
      <w:lang w:val="vi-VN"/>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rFonts w:ascii="Times New Roman" w:hAnsi="Times New Roman" w:eastAsia="Times New Roman" w:cs="Times New Roman"/>
      <w:b w:val="false"/>
      <w:i/>
      <w:iCs/>
      <w:color w:val="000000"/>
      <w:sz w:val="20"/>
      <w:lang w:val="vi-VN"/>
    </w:rPr>
  </w:style>
  <w:style w:type="paragraph" w:styleId="Heading3">
    <w:name w:val="Heading 3"/>
    <w:basedOn w:val="Normal"/>
    <w:next w:val="Normal"/>
    <w:qFormat/>
    <w:rsid w:val="00794804"/>
    <w:pPr>
      <w:numPr>
        <w:ilvl w:val="2"/>
        <w:numId w:val="1"/>
      </w:numPr>
      <w:spacing w:lineRule="exact" w:line="240"/>
      <w:ind w:firstLine="288"/>
      <w:jc w:val="both"/>
      <w:outlineLvl w:val="2"/>
    </w:pPr>
    <w:rPr>
      <w:rFonts w:ascii="Times New Roman" w:hAnsi="Times New Roman" w:eastAsia="Times New Roman" w:cs="Times New Roman"/>
      <w:b w:val="false"/>
      <w:i/>
      <w:iCs/>
      <w:color w:val="000000"/>
      <w:sz w:val="20"/>
      <w:lang w:val="vi-VN"/>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keepLines w:val="false"/>
      <w:widowControl/>
      <w:tabs>
        <w:tab w:val="clear" w:pos="720"/>
        <w:tab w:val="left" w:pos="288" w:leader="none"/>
      </w:tabs>
      <w:spacing w:lineRule="auto" w:line="252" w:before="0" w:after="80"/>
      <w:ind w:firstLine="288"/>
      <w:jc w:val="both"/>
    </w:pPr>
    <w:rPr>
      <w:rFonts w:ascii="Times New Roman" w:hAnsi="Times New Roman" w:eastAsia="Times New Roman" w:cs="Times New Roman"/>
      <w:color w:val="000000"/>
      <w:spacing w:val="-1"/>
      <w:sz w:val="20"/>
      <w:lang w:val="vi-VN"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Times New Roman" w:cs="Times New Roman"/>
      <w:color w:val="000000"/>
      <w:kern w:val="0"/>
      <w:sz w:val="16"/>
      <w:szCs w:val="16"/>
      <w:lang w:val="vi-VN"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Times New Roman" w:cs="Times New Roman"/>
      <w:smallCaps/>
      <w:color w:val="000000"/>
      <w:kern w:val="0"/>
      <w:sz w:val="16"/>
      <w:szCs w:val="16"/>
      <w:lang w:val="vi-VN"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ScientificTable" w:customStyle="1">
    <w:name w:val="Scientific Table"/>
    <w:basedOn w:val="BodyText"/>
    <w:qFormat/>
    <w:pPr>
      <w:spacing w:lineRule="auto" w:line="240" w:before="0" w:after="0"/>
      <w:ind w:hanging="0"/>
      <w:jc w:val="center"/>
    </w:pPr>
    <w:rPr>
      <w:rFonts w:ascii="Times New Roman" w:hAnsi="Times New Roman" w:eastAsia="Times New Roman" w:cs="Times New Roman"/>
      <w:color w:val="000000"/>
      <w:sz w:val="16"/>
      <w:lang w:val="vi-VN"/>
    </w:rPr>
  </w:style>
  <w:style w:type="paragraph" w:styleId="ScientificNote" w:customStyle="1">
    <w:name w:val="Scientific Note"/>
    <w:basedOn w:val="BodyText"/>
    <w:qFormat/>
    <w:pPr>
      <w:spacing w:lineRule="auto" w:line="240" w:before="0" w:after="60"/>
      <w:ind w:hanging="0"/>
      <w:jc w:val="both"/>
    </w:pPr>
    <w:rPr>
      <w:rFonts w:ascii="Times New Roman" w:hAnsi="Times New Roman" w:eastAsia="Times New Roman" w:cs="Times New Roman"/>
      <w:color w:val="000000"/>
      <w:sz w:val="16"/>
      <w:lang w:val="vi-VN"/>
    </w:rPr>
  </w:style>
  <w:style w:type="paragraph" w:styleId="ScientificEquation" w:customStyle="1">
    <w:name w:val="Scientific Equation"/>
    <w:basedOn w:val="BodyText"/>
    <w:qFormat/>
    <w:pPr>
      <w:spacing w:lineRule="auto" w:line="240" w:before="0" w:after="60"/>
      <w:ind w:hanging="0"/>
    </w:pPr>
    <w:rPr>
      <w:rFonts w:ascii="Times New Roman" w:hAnsi="Times New Roman" w:eastAsia="Times New Roman" w:cs="Times New Roman"/>
      <w:color w:val="000000"/>
      <w:sz w:val="20"/>
      <w:lang w:val="vi-VN"/>
    </w:rPr>
  </w:style>
  <w:style w:type="paragraph" w:styleId="ScientificReference" w:customStyle="1">
    <w:name w:val="Scientific Reference"/>
    <w:basedOn w:val="BodyText"/>
    <w:qFormat/>
    <w:pPr>
      <w:spacing w:lineRule="auto" w:line="240" w:before="0" w:after="60"/>
      <w:ind w:hanging="240" w:left="240"/>
    </w:pPr>
    <w:rPr>
      <w:rFonts w:ascii="Times New Roman" w:hAnsi="Times New Roman" w:eastAsia="Times New Roman" w:cs="Times New Roman"/>
      <w:color w:val="000000"/>
      <w:sz w:val="16"/>
      <w:lang w:val="vi-VN"/>
    </w:rPr>
  </w:style>
  <w:style w:type="paragraph" w:styleId="Title">
    <w:name w:val="Title"/>
    <w:basedOn w:val="BodyText"/>
    <w:qFormat/>
    <w:pPr>
      <w:keepNext w:val="true"/>
      <w:keepLines/>
      <w:spacing w:before="0" w:after="120"/>
      <w:ind w:hanging="0"/>
      <w:jc w:val="center"/>
    </w:pPr>
    <w:rPr>
      <w:rFonts w:ascii="Times New Roman" w:hAnsi="Times New Roman" w:cs="Times New Roman"/>
      <w:b/>
      <w:color w:val="000000"/>
      <w:sz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21</Pages>
  <Words>20052</Words>
  <Characters>78422</Characters>
  <CharactersWithSpaces>97184</CharactersWithSpaces>
  <Paragraphs>1083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
  <dc:description/>
  <cp:keywords>PSTMO Nav2 ROS 2 G2 fixed-input repeatability</cp:keywords>
  <dc:language>en-US</dc:language>
  <cp:lastModifiedBy/>
  <dcterms:modified xsi:type="dcterms:W3CDTF">2026-10-23T00:37:39Z</dcterms:modified>
  <cp:revision>10</cp:revision>
  <dc:subject>Phần II và III của bản thảo journal phiên bản 9</dc:subject>
  <dc:title>Hậu xử lý đường đi có xét tính khả thi chuyển động cho robot vi sai trong môi trường kho</dc:title>
</cp:coreProperties>
</file>