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rPr>
          <w:rFonts w:ascii="Times New Roman" w:hAnsi="Times New Roman" w:eastAsia="Times New Roman"/>
          <w:b w:val="0"/>
          <w:i w:val="0"/>
        </w:rPr>
        <w:t>Path Smoothing and Turning-Maneuver Optimization for Differential-Drive Mobile Robots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</w:rPr>
        <w:t>Intelligent Control, Robotics and Automation — Autonomous Systems (AMR, AGV, UAV)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</w:rPr>
        <w:t>Abstract—</w:t>
      </w:r>
      <w:r>
        <w:rPr>
          <w:rFonts w:ascii="Times New Roman" w:hAnsi="Times New Roman" w:eastAsia="Times New Roman"/>
          <w:b w:val="0"/>
          <w:i w:val="0"/>
        </w:rPr>
        <w:t>Global planners in ROS 2/Nav2 often produce piecewise-linear paths with sharp heading changes that slow differential-drive robots or require in-place rotations. This paper proposes Path Smoothing and Turning-Maneuver Optimization (PSTMO), a post-processing method that conditions the input path, constructs quintic Bézier transitions from two geometry-based trimming distances, rejects candidates violating kinematic, timing, or swept-footprint constraints, and uses dynamic programming to select compatible transitions and rotations. Evaluation in seven Gazebo environments used NavFn A*, NavFn Dijkstra, Theta*, Smac 2D, and Smac Hybrid, with Raw, Simple, Savitzky–Golay, and Constrained as baselines. In 34 complete planning comparisons, PSTMO reduced mean path length, maximum curvature, and squared-curvature integral by 0.64%, 75.29%, and 81.44% relative to Simple. Closed-loop evaluation comprised 175 isolated runs. All five methods completed 34 of 35 planner–environment cases; the shared failure was Smac Hybrid in Warehouse Dispatch. Across successful paired cases, mean travel times were 57.120, 54.449, 56.677, 57.293, and 53.148 s for Raw, Simple, Savitzky–Golay, Constrained, and PSTMO. Thus, 170 runs reached the goal without collision-monitor intervention, while PSTMO achieved the lowest mean travel time and substantially reduced turning severity.</w:t>
      </w:r>
    </w:p>
    <w:p>
      <w:pPr>
        <w:widowControl/>
      </w:pPr>
      <w:r>
        <w:rPr>
          <w:rFonts w:ascii="Times New Roman" w:hAnsi="Times New Roman" w:eastAsia="Times New Roman"/>
          <w:b w:val="0"/>
          <w:i w:val="0"/>
        </w:rPr>
        <w:t>Keywords—</w:t>
      </w:r>
      <w:r>
        <w:rPr>
          <w:rFonts w:ascii="Times New Roman" w:hAnsi="Times New Roman" w:eastAsia="Times New Roman"/>
          <w:b w:val="0"/>
          <w:i w:val="0"/>
        </w:rPr>
        <w:t>differential-drive mobile robot; path smoothing; turning-maneuver optimization; Bézier transition; ROS 2/Nav2.</w:t>
      </w:r>
    </w:p>
    <w:sectPr w:rsidR="00FC693F" w:rsidRPr="0006063C" w:rsidSect="00034616">
      <w:pgSz w:w="11906" w:h="16838"/>
      <w:pgMar w:top="1077" w:right="1020" w:bottom="1077" w:left="1020" w:header="397" w:footer="454" w:gutter="0"/>
      <w:cols w:space="36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  <w:jc w:val="left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keepNext w:val="0"/>
      <w:spacing w:before="0" w:after="40"/>
      <w:jc w:val="center"/>
    </w:pPr>
    <w:rPr>
      <w:rFonts w:ascii="Times New Roman" w:hAnsi="Times New Roman" w:eastAsia="Times New Roman"/>
      <w:b/>
      <w:sz w:val="36"/>
    </w:rPr>
  </w:style>
  <w:style w:type="paragraph" w:customStyle="1" w:styleId="ReportSubtitle">
    <w:name w:val="Report Subtitle"/>
    <w:pPr>
      <w:keepNext w:val="0"/>
      <w:spacing w:before="0" w:after="40"/>
      <w:jc w:val="center"/>
    </w:pPr>
    <w:rPr>
      <w:rFonts w:ascii="Times New Roman" w:hAnsi="Times New Roman" w:eastAsia="Times New Roman"/>
      <w:b w:val="0"/>
      <w:sz w:val="24"/>
    </w:rPr>
  </w:style>
  <w:style w:type="paragraph" w:customStyle="1" w:styleId="ReportMeta">
    <w:name w:val="Report Meta"/>
    <w:pPr>
      <w:keepNext w:val="0"/>
      <w:spacing w:before="0" w:after="40"/>
      <w:jc w:val="center"/>
    </w:pPr>
    <w:rPr>
      <w:rFonts w:ascii="Times New Roman" w:hAnsi="Times New Roman" w:eastAsia="Times New Roman"/>
      <w:b w:val="0"/>
      <w:sz w:val="18"/>
    </w:rPr>
  </w:style>
  <w:style w:type="paragraph" w:customStyle="1" w:styleId="ReportCallout">
    <w:name w:val="Report Callout"/>
    <w:pPr>
      <w:keepNext w:val="0"/>
      <w:spacing w:before="0" w:after="40"/>
      <w:jc w:val="left"/>
    </w:pPr>
    <w:rPr>
      <w:rFonts w:ascii="Times New Roman" w:hAnsi="Times New Roman" w:eastAsia="Times New Roman"/>
      <w:b w:val="0"/>
      <w:sz w:val="20"/>
    </w:rPr>
  </w:style>
  <w:style w:type="paragraph" w:customStyle="1" w:styleId="ReportAuthors">
    <w:name w:val="Report Authors"/>
    <w:pPr>
      <w:keepNext w:val="0"/>
      <w:spacing w:before="0" w:after="40"/>
      <w:jc w:val="center"/>
    </w:pPr>
    <w:rPr>
      <w:rFonts w:ascii="Times New Roman" w:hAnsi="Times New Roman" w:eastAsia="Times New Roman"/>
      <w:b w:val="0"/>
      <w:sz w:val="20"/>
    </w:rPr>
  </w:style>
  <w:style w:type="paragraph" w:customStyle="1" w:styleId="ReportHeading1">
    <w:name w:val="Report Heading 1"/>
    <w:pPr>
      <w:keepNext/>
      <w:spacing w:before="80" w:after="40"/>
      <w:jc w:val="center"/>
    </w:pPr>
    <w:rPr>
      <w:rFonts w:ascii="Times New Roman" w:hAnsi="Times New Roman" w:eastAsia="Times New Roman"/>
      <w:b/>
      <w:sz w:val="26"/>
    </w:rPr>
  </w:style>
  <w:style w:type="paragraph" w:customStyle="1" w:styleId="ReportHeading2">
    <w:name w:val="Report Heading 2"/>
    <w:pPr>
      <w:keepNext/>
      <w:spacing w:before="80" w:after="40"/>
      <w:jc w:val="left"/>
    </w:pPr>
    <w:rPr>
      <w:rFonts w:ascii="Times New Roman" w:hAnsi="Times New Roman" w:eastAsia="Times New Roman"/>
      <w:b/>
      <w:sz w:val="22"/>
    </w:rPr>
  </w:style>
  <w:style w:type="paragraph" w:customStyle="1" w:styleId="ReportCaption">
    <w:name w:val="Report Caption"/>
    <w:pPr>
      <w:keepNext/>
      <w:spacing w:before="0" w:after="40"/>
      <w:jc w:val="center"/>
    </w:pPr>
    <w:rPr>
      <w:rFonts w:ascii="Times New Roman" w:hAnsi="Times New Roman" w:eastAsia="Times New Roman"/>
      <w:b w:val="0"/>
      <w:sz w:val="18"/>
    </w:rPr>
  </w:style>
  <w:style w:type="paragraph" w:customStyle="1" w:styleId="ReportReferences">
    <w:name w:val="Report References"/>
    <w:pPr>
      <w:keepNext w:val="0"/>
      <w:spacing w:before="0" w:after="40"/>
      <w:jc w:val="left"/>
    </w:pPr>
    <w:rPr>
      <w:rFonts w:ascii="Times New Roman" w:hAnsi="Times New Roman" w:eastAsia="Times New Roman"/>
      <w:b w:val="0"/>
      <w:sz w:val="18"/>
    </w:rPr>
  </w:style>
  <w:style w:type="paragraph" w:customStyle="1" w:styleId="ReportEquation">
    <w:name w:val="Report Equation"/>
    <w:pPr>
      <w:keepNext w:val="0"/>
      <w:spacing w:before="0" w:after="40"/>
      <w:jc w:val="center"/>
    </w:pPr>
    <w:rPr>
      <w:rFonts w:ascii="Times New Roman" w:hAnsi="Times New Roman" w:eastAsia="Times New Roman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