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9.svg" ContentType="image/svg+xml"/>
  <Override PartName="/word/media/rId76.svg" ContentType="image/svg+xml"/>
  <Override PartName="/word/media/rId72.svg" ContentType="image/svg+xml"/>
  <Override PartName="/word/media/rId95.svg" ContentType="image/svg+xml"/>
  <Override PartName="/word/media/rId59.svg" ContentType="image/svg+xml"/>
  <Override PartName="/word/media/rId4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LiDAR-alapú</w:t>
      </w:r>
      <w:r>
        <w:t xml:space="preserve"> </w:t>
      </w:r>
      <w:r>
        <w:t xml:space="preserve">3D</w:t>
      </w:r>
      <w:r>
        <w:t xml:space="preserve"> </w:t>
      </w:r>
      <w:r>
        <w:t xml:space="preserve">járműdetektálás</w:t>
      </w:r>
      <w:r>
        <w:t xml:space="preserve"> </w:t>
      </w:r>
      <w:r>
        <w:t xml:space="preserve">CenterPoint</w:t>
      </w:r>
      <w:r>
        <w:t xml:space="preserve"> </w:t>
      </w:r>
      <w:r>
        <w:t xml:space="preserve">architektúrákkal</w:t>
      </w:r>
    </w:p>
    <w:p>
      <w:pPr>
        <w:pStyle w:val="Subtitle"/>
      </w:pPr>
      <w:r>
        <w:t xml:space="preserve">Műszaki</w:t>
      </w:r>
      <w:r>
        <w:t xml:space="preserve"> </w:t>
      </w:r>
      <w:r>
        <w:t xml:space="preserve">projektdokumentáció</w:t>
      </w:r>
    </w:p>
    <w:p>
      <w:pPr>
        <w:pStyle w:val="Author"/>
      </w:pPr>
      <w:r>
        <w:t xml:space="preserve">Név:</w:t>
      </w:r>
      <w:r>
        <w:t xml:space="preserve"> </w:t>
      </w:r>
      <w:r>
        <w:t xml:space="preserve">______________________________</w:t>
      </w:r>
    </w:p>
    <w:p>
      <w:pPr>
        <w:pStyle w:val="Date"/>
      </w:pPr>
      <w:r>
        <w:t xml:space="preserve">2026.</w:t>
      </w:r>
      <w:r>
        <w:t xml:space="preserve"> </w:t>
      </w:r>
      <w:r>
        <w:t xml:space="preserve">szeptember</w:t>
      </w:r>
      <w:r>
        <w:t xml:space="preserve"> </w:t>
      </w:r>
      <w:r>
        <w:t xml:space="preserve">4.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címlap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Címlap</w:t>
      </w:r>
    </w:p>
    <w:p>
      <w:pPr>
        <w:pStyle w:val="FirstParagraph"/>
      </w:pPr>
      <w:r>
        <w:rPr>
          <w:bCs/>
          <w:b/>
        </w:rPr>
        <w:t xml:space="preserve">LiDAR-alapú 3D járműdetektálás CenterPoint architektúrákkal</w:t>
      </w:r>
    </w:p>
    <w:p>
      <w:pPr>
        <w:pStyle w:val="BodyText"/>
      </w:pPr>
      <w:r>
        <w:rPr>
          <w:iCs/>
          <w:i/>
        </w:rPr>
        <w:t xml:space="preserve">Műszaki projektdokumentáció</w:t>
      </w:r>
    </w:p>
    <w:p>
      <w:pPr>
        <w:pStyle w:val="BodyText"/>
      </w:pPr>
      <w:r>
        <w:t xml:space="preserve">Készítette: ______________________________</w:t>
      </w:r>
      <w:r>
        <w:t xml:space="preserve"> </w:t>
      </w:r>
      <w:r>
        <w:t xml:space="preserve">Témavezető: ______________________________</w:t>
      </w:r>
      <w:r>
        <w:t xml:space="preserve"> </w:t>
      </w:r>
      <w:r>
        <w:t xml:space="preserve">Projektág: 3D pontfelhő-alapú objektumdetektálás</w:t>
      </w:r>
      <w:r>
        <w:t xml:space="preserve"> </w:t>
      </w:r>
      <w:r>
        <w:t xml:space="preserve">Állapot: a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ág dokumentált állapota</w:t>
      </w:r>
    </w:p>
    <w:p>
      <w:pPr>
        <w:numPr>
          <w:ilvl w:val="0"/>
          <w:numId w:val="1001"/>
        </w:numPr>
        <w:pStyle w:val="Compact"/>
      </w:pPr>
      <w:r>
        <w:t xml:space="preserve">szeptember 4.</w:t>
      </w:r>
    </w:p>
    <w:p>
      <w:r>
        <w:br w:type="page"/>
      </w:r>
    </w:p>
    <w:p>
      <w:pPr>
        <w:pStyle w:val="FirstParagraph"/>
      </w:pPr>
      <w:r>
        <w:t xml:space="preserve">Ez a dokumentum a repository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ágának állapotát rögzíti. A szövegben szereplő saját mérési állítások nem általános szakirodalmi állítások: minden ilyen adat egy konkrét runhoz, konfigurációhoz, kiválasztott checkpointhez és immutable eredményfájlhoz kötődik. A címlapon szereplő személyes mezők kitöltése a dokumentáció átadásakor történhet meg.</w:t>
      </w:r>
    </w:p>
    <w:bookmarkEnd w:id="20"/>
    <w:bookmarkStart w:id="23" w:name="magyar-összefoglaló-és-kulcsszavak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Magyar összefoglaló és kulcsszavak</w:t>
      </w:r>
    </w:p>
    <w:bookmarkStart w:id="21" w:name="összefoglaló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2.1. Összefoglaló</w:t>
      </w:r>
    </w:p>
    <w:p>
      <w:pPr>
        <w:pStyle w:val="FirstParagraph"/>
      </w:pPr>
      <w:r>
        <w:t xml:space="preserve">A projekt célja egy LiDAR-pontfelhőből működő, járműdetektálásra optimalizált 3D objektumdetektor kutatási és demonstrációs rendszerének kialakítása. A kutatási oldal az MMDetection3D keretrendszerre épülő CenterPoint modelleket futtat, a futtatásokat pedig olyan run-owned bizonyítékmodellben tárolja, amely együtt kezeli a konfigurációt, az adathalmaz-azonosságot, a checkpointot, a kiértékelést és a benchmarkot. A bemutatási oldal ROS2-n keresztül dolgozza fel a Kaposvár környezetében rögzített Lexus LiDAR-adatot, Foxglove-ban jeleníti meg a pontfelhőt és a detekciókat, majd opcionálisan időbeli stabilizálást végez.</w:t>
      </w:r>
    </w:p>
    <w:p>
      <w:pPr>
        <w:pStyle w:val="BodyText"/>
      </w:pPr>
      <w:r>
        <w:t xml:space="preserve">Az első modellkampány hat, kizárólag a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osztályt használó CenterPoint-változatot hasonlított össze 20 epochos tanítással:</w:t>
      </w:r>
      <w:r>
        <w:t xml:space="preserve"> </w:t>
      </w:r>
      <w:r>
        <w:rPr>
          <w:rStyle w:val="VerbatimChar"/>
        </w:rPr>
        <w:t xml:space="preserve">pillar02</w:t>
      </w:r>
      <w:r>
        <w:t xml:space="preserve">,</w:t>
      </w:r>
      <w:r>
        <w:t xml:space="preserve"> </w:t>
      </w:r>
      <w:r>
        <w:rPr>
          <w:rStyle w:val="VerbatimChar"/>
        </w:rPr>
        <w:t xml:space="preserve">pillar02-dcn</w:t>
      </w:r>
      <w:r>
        <w:t xml:space="preserve">,</w:t>
      </w:r>
      <w:r>
        <w:t xml:space="preserve"> </w:t>
      </w:r>
      <w:r>
        <w:rPr>
          <w:rStyle w:val="VerbatimChar"/>
        </w:rPr>
        <w:t xml:space="preserve">voxel01</w:t>
      </w:r>
      <w:r>
        <w:t xml:space="preserve">,</w:t>
      </w:r>
      <w:r>
        <w:t xml:space="preserve"> </w:t>
      </w:r>
      <w:r>
        <w:rPr>
          <w:rStyle w:val="VerbatimChar"/>
        </w:rPr>
        <w:t xml:space="preserve">voxel01-dcn</w:t>
      </w:r>
      <w:r>
        <w:t xml:space="preserve">,</w:t>
      </w:r>
      <w:r>
        <w:t xml:space="preserve"> </w:t>
      </w:r>
      <w:r>
        <w:rPr>
          <w:rStyle w:val="VerbatimChar"/>
        </w:rPr>
        <w:t xml:space="preserve">voxel0075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voxel0075-dcn</w:t>
      </w:r>
      <w:r>
        <w:t xml:space="preserve">. A közös KITTI validation partíción a legjobb közepes nehézségű, szigorú 3D AP40 értéket a</w:t>
      </w:r>
      <w:r>
        <w:t xml:space="preserve"> </w:t>
      </w:r>
      <w:r>
        <w:rPr>
          <w:rStyle w:val="VerbatimChar"/>
        </w:rPr>
        <w:t xml:space="preserve">voxel0075</w:t>
      </w:r>
      <w:r>
        <w:t xml:space="preserve"> </w:t>
      </w:r>
      <w:r>
        <w:t xml:space="preserve">érte el: 66,1696. Ugyanez a modell 35,3310 ms végponttól végpontig mért p95 késleltetést adott. A</w:t>
      </w:r>
      <w:r>
        <w:t xml:space="preserve"> </w:t>
      </w:r>
      <w:r>
        <w:rPr>
          <w:rStyle w:val="VerbatimChar"/>
        </w:rPr>
        <w:t xml:space="preserve">pillar02</w:t>
      </w:r>
      <w:r>
        <w:t xml:space="preserve"> </w:t>
      </w:r>
      <w:r>
        <w:t xml:space="preserve">volt a leggyorsabb, 15,0032 ms p95 mellett 55,1909 AP40 értékkel. A Pareto-elemzés alapján a pontossági finalist a</w:t>
      </w:r>
      <w:r>
        <w:t xml:space="preserve"> </w:t>
      </w:r>
      <w:r>
        <w:rPr>
          <w:rStyle w:val="VerbatimChar"/>
        </w:rPr>
        <w:t xml:space="preserve">voxel0075</w:t>
      </w:r>
      <w:r>
        <w:t xml:space="preserve">, a kis késleltetésű finalist a</w:t>
      </w:r>
      <w:r>
        <w:t xml:space="preserve"> </w:t>
      </w:r>
      <w:r>
        <w:rPr>
          <w:rStyle w:val="VerbatimChar"/>
        </w:rPr>
        <w:t xml:space="preserve">pillar02</w:t>
      </w:r>
      <w:r>
        <w:t xml:space="preserve">.</w:t>
      </w:r>
    </w:p>
    <w:p>
      <w:pPr>
        <w:pStyle w:val="BodyText"/>
      </w:pPr>
      <w:r>
        <w:t xml:space="preserve">A finalisták 30 epochig történő meghosszabbítása két eltérő mintát mutatott. A</w:t>
      </w:r>
      <w:r>
        <w:t xml:space="preserve"> </w:t>
      </w:r>
      <w:r>
        <w:rPr>
          <w:rStyle w:val="VerbatimChar"/>
        </w:rPr>
        <w:t xml:space="preserve">voxel0075</w:t>
      </w:r>
      <w:r>
        <w:t xml:space="preserve"> </w:t>
      </w:r>
      <w:r>
        <w:t xml:space="preserve">30 epoch után 65,8049 közepes 3D AP40-et és 42,0169 ms p95 késleltetést adott, tehát a 20 epochos változatnál gyengébb lett. A</w:t>
      </w:r>
      <w:r>
        <w:t xml:space="preserve"> </w:t>
      </w:r>
      <w:r>
        <w:rPr>
          <w:rStyle w:val="VerbatimChar"/>
        </w:rPr>
        <w:t xml:space="preserve">pillar02</w:t>
      </w:r>
      <w:r>
        <w:t xml:space="preserve"> </w:t>
      </w:r>
      <w:r>
        <w:t xml:space="preserve">30 epoch után 59,3263 AP40-re javult, miközben p95 késleltetése csak 15,0919 ms-ra változott. Ezért a demonstráció elsődleges pontossági modellje a 20 epochos</w:t>
      </w:r>
      <w:r>
        <w:t xml:space="preserve"> </w:t>
      </w:r>
      <w:r>
        <w:rPr>
          <w:rStyle w:val="VerbatimChar"/>
        </w:rPr>
        <w:t xml:space="preserve">voxel0075</w:t>
      </w:r>
      <w:r>
        <w:t xml:space="preserve">, gyors tartalékmodellje pedig a 30 epochos</w:t>
      </w:r>
      <w:r>
        <w:t xml:space="preserve"> </w:t>
      </w:r>
      <w:r>
        <w:rPr>
          <w:rStyle w:val="VerbatimChar"/>
        </w:rPr>
        <w:t xml:space="preserve">pillar02</w:t>
      </w:r>
      <w:r>
        <w:t xml:space="preserve">.</w:t>
      </w:r>
    </w:p>
    <w:p>
      <w:pPr>
        <w:pStyle w:val="BodyText"/>
      </w:pPr>
      <w:r>
        <w:t xml:space="preserve">Külön megvalósíthatósági kísérlet készült</w:t>
      </w:r>
      <w:r>
        <w:t xml:space="preserve"> </w:t>
      </w:r>
      <w:r>
        <w:rPr>
          <w:rStyle w:val="VerbatimChar"/>
        </w:rPr>
        <w:t xml:space="preserve">Pillar02</w:t>
      </w:r>
      <w:r>
        <w:t xml:space="preserve"> </w:t>
      </w:r>
      <w:r>
        <w:t xml:space="preserve">architektúrán, 60 epochra, három osztállyal:</w:t>
      </w:r>
      <w:r>
        <w:t xml:space="preserve"> </w:t>
      </w:r>
      <w:r>
        <w:rPr>
          <w:rStyle w:val="VerbatimChar"/>
        </w:rPr>
        <w:t xml:space="preserve">Car</w:t>
      </w:r>
      <w:r>
        <w:t xml:space="preserve">,</w:t>
      </w:r>
      <w:r>
        <w:t xml:space="preserve"> </w:t>
      </w:r>
      <w:r>
        <w:rPr>
          <w:rStyle w:val="VerbatimChar"/>
        </w:rPr>
        <w:t xml:space="preserve">Pedestrian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Cyclist</w:t>
      </w:r>
      <w:r>
        <w:t xml:space="preserve">. A kijelölt checkpoint az epoch 55-höz kötött legjobb modell. A Car 3D AP40 értékei könnyű, közepes és nehéz szinten rendre 78,7537, 66,9236 és 64,7167; az end-to-end p95 14,7736 ms. Ez a kísérlet nem rangsorolható közvetlenül a hat 20 epochos Car-only modellel, mert más feladatot, osztálykészletet, tanítási költséget és célkitűzést képvisel.</w:t>
      </w:r>
    </w:p>
    <w:p>
      <w:pPr>
        <w:pStyle w:val="BodyText"/>
      </w:pPr>
      <w:r>
        <w:t xml:space="preserve">A rendszerben az official MMDetection3D PointPillars és SECOND pretrained baseline is megjelent hiteles config-, checkpoint-, evaluation- és benchmark-kötéssel. A két baseline ugyanazon KITTI validation adaton magasabb AP40 értékeket adott, de lényegesen eltérő, hosszabb és érettebb training recipe-t használ, ezért nem tekinthető azonos feltételek melletti rangsornak. Ezek a baseline-ok jelenleg nem szerepelnek a közös Foxglove registryben, és hozzájuk még nem készült baseline Foxglove-videó.</w:t>
      </w:r>
    </w:p>
    <w:p>
      <w:pPr>
        <w:pStyle w:val="BodyText"/>
      </w:pPr>
      <w:r>
        <w:t xml:space="preserve">A következtetések érvényességét korlátozza, hogy minden eredmény KITTI validation mérés; sealed KITTI test eredmény nincs. A kísérletek egyetlen seed/run megfigyeléseire támaszkodnak, a KITTI release-version nincs rögzítve, ezért dataset release-version waiver szerepel a comparison JSON-okban. További korlát az ismételt validation-használatból eredő overfitting lehetősége, az eltérő training budget, a teljesen nem annotált Lexus bag, a tracking kvantitatív értékelésének hiánya, az élő DDS loss, a baseline Foxglove-integráció hiánya és a TensorRT-deployment hiánya.</w:t>
      </w:r>
    </w:p>
    <w:bookmarkEnd w:id="21"/>
    <w:bookmarkStart w:id="22" w:name="kulcsszavak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2.2. Kulcsszavak</w:t>
      </w:r>
    </w:p>
    <w:p>
      <w:pPr>
        <w:pStyle w:val="FirstParagraph"/>
      </w:pPr>
      <w:r>
        <w:t xml:space="preserve">LiDAR; 3D objektumdetektálás; pontfelhő; voxel; pillar; CenterPoint; PointPillars; SECOND; KITTI; MMDetection3D; ROS2; Foxglove; tracking; reprodukálhatóság; immutable evidence.</w:t>
      </w:r>
    </w:p>
    <w:bookmarkEnd w:id="22"/>
    <w:bookmarkEnd w:id="23"/>
    <w:bookmarkStart w:id="27" w:name="bevezetés-motiváció-és-célkitűzések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Bevezetés, motiváció és célkitűzések</w:t>
      </w:r>
    </w:p>
    <w:bookmarkStart w:id="24" w:name="a-probléma-műszaki-jelentősége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3.1. A probléma műszaki jelentősége</w:t>
      </w:r>
    </w:p>
    <w:p>
      <w:pPr>
        <w:pStyle w:val="FirstParagraph"/>
      </w:pPr>
      <w:r>
        <w:t xml:space="preserve">Az autonóm és vezetéstámogató rendszerekben a környezet érzékelése több, egymást kiegészítő érzékelőből áll. A kamera gazdag textúrát és színt ad, de a távolság és a geometriai méret közvetlen meghatározása nehezebb. A LiDAR ezzel szemben közvetlen térbeli mintavételt ad: egy pont tipikusan a szenzorhoz viszonyított koordinátát és intenzitás- vagy reflektivitásértéket hordoz. A feladat ebből a rendezetlen, ritka mintából olyan 3D dobozok előállítása, amelyek helyet, méretet, irányt, osztályt és megbízhatósági pontszámot írnak le.</w:t>
      </w:r>
    </w:p>
    <w:p>
      <w:pPr>
        <w:pStyle w:val="BodyText"/>
      </w:pPr>
      <w:r>
        <w:t xml:space="preserve">A projektben nem egy általános, minden környezetben kész termék létrehozása volt a cél. A konkrét kérdés az volt, hogy egy azonos adatkészleten, azonos kiértékelési és mérési szerződéssel melyik CenterPoint-alapú voxel- vagy pillar-felbontás ad megfelelő egyensúlyt a járműdetektálási pontosság és az online késleltetés között. Ehhez olyan kutatási folyamat kellett, amelyben egy eredmény nem pusztán egy táblázatsor, hanem visszavezethető artifactlánc.</w:t>
      </w:r>
    </w:p>
    <w:bookmarkEnd w:id="24"/>
    <w:bookmarkStart w:id="25" w:name="célkitűzések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3.2. Célkitűzések</w:t>
      </w:r>
    </w:p>
    <w:p>
      <w:pPr>
        <w:pStyle w:val="FirstParagraph"/>
      </w:pPr>
      <w:r>
        <w:t xml:space="preserve">A dokumentált célkitűzések a következők:</w:t>
      </w:r>
    </w:p>
    <w:p>
      <w:pPr>
        <w:numPr>
          <w:ilvl w:val="0"/>
          <w:numId w:val="1002"/>
        </w:numPr>
        <w:pStyle w:val="Compact"/>
      </w:pPr>
      <w:r>
        <w:t xml:space="preserve">LiDAR-only CenterPoint detektorok összehasonlítható Car-only kampányának kialakítása.</w:t>
      </w:r>
    </w:p>
    <w:p>
      <w:pPr>
        <w:numPr>
          <w:ilvl w:val="0"/>
          <w:numId w:val="1002"/>
        </w:numPr>
        <w:pStyle w:val="Compact"/>
      </w:pPr>
      <w:r>
        <w:t xml:space="preserve">Voxel- és pillar-felbontások, valamint a DCN fejváltozatok vizsgálata.</w:t>
      </w:r>
    </w:p>
    <w:p>
      <w:pPr>
        <w:numPr>
          <w:ilvl w:val="0"/>
          <w:numId w:val="1002"/>
        </w:numPr>
        <w:pStyle w:val="Compact"/>
      </w:pPr>
      <w:r>
        <w:t xml:space="preserve">Az accuracy–latency kompromisszum explicit, mérhető modellezése.</w:t>
      </w:r>
    </w:p>
    <w:p>
      <w:pPr>
        <w:numPr>
          <w:ilvl w:val="0"/>
          <w:numId w:val="1002"/>
        </w:numPr>
        <w:pStyle w:val="Compact"/>
      </w:pPr>
      <w:r>
        <w:t xml:space="preserve">A legjobb pontosságú és legkisebb késleltetésű finalist kiválasztása, majd 20/30 epochos ellenőrzése.</w:t>
      </w:r>
    </w:p>
    <w:p>
      <w:pPr>
        <w:numPr>
          <w:ilvl w:val="0"/>
          <w:numId w:val="1002"/>
        </w:numPr>
        <w:pStyle w:val="Compact"/>
      </w:pPr>
      <w:r>
        <w:t xml:space="preserve">Egy külön multiclass megvalósíthatósági kísérlet végrehajtása.</w:t>
      </w:r>
    </w:p>
    <w:p>
      <w:pPr>
        <w:numPr>
          <w:ilvl w:val="0"/>
          <w:numId w:val="1002"/>
        </w:numPr>
        <w:pStyle w:val="Compact"/>
      </w:pPr>
      <w:r>
        <w:t xml:space="preserve">Hivatalos PointPillars és SECOND pretrained referenciák rögzítése, félrevezető azonos budgetű rangsor nélkül.</w:t>
      </w:r>
    </w:p>
    <w:p>
      <w:pPr>
        <w:numPr>
          <w:ilvl w:val="0"/>
          <w:numId w:val="1002"/>
        </w:numPr>
        <w:pStyle w:val="Compact"/>
      </w:pPr>
      <w:r>
        <w:t xml:space="preserve">A kiválasztott modellek ROS2- és Foxglove-integrációja, stabil track ID-k és reset-viselkedés biztosítása.</w:t>
      </w:r>
    </w:p>
    <w:p>
      <w:pPr>
        <w:numPr>
          <w:ilvl w:val="0"/>
          <w:numId w:val="1002"/>
        </w:numPr>
        <w:pStyle w:val="Compact"/>
      </w:pPr>
      <w:r>
        <w:t xml:space="preserve">A kiértékelési és futtatási bizonyítékok megőrzése úgy, hogy később egy másik fejlesztő ugyanazokat a bemeneteket és azonosításokat ellenőrizhesse.</w:t>
      </w:r>
    </w:p>
    <w:bookmarkEnd w:id="25"/>
    <w:bookmarkStart w:id="26" w:name="a-siker-kritériuma-és-a-hatókör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3.3. A siker kritériuma és a hatókör</w:t>
      </w:r>
    </w:p>
    <w:p>
      <w:pPr>
        <w:pStyle w:val="FirstParagraph"/>
      </w:pPr>
      <w:r>
        <w:t xml:space="preserve">A kutatási siker kritériuma nem egyetlen abszolút AP-szám volt. A modellnek azonos adatokon, azonos szigorú AP40-profilban kellett mérhetőnek lennie; a benchmarknak rögzített módszertannal kellett futnia; a kiválasztásnak pedig a pontosság és az end-to-end p95 együttesét kellett figyelembe vennie. A 20 Hz-es előzetes runtime cél az end-to-end p95 legfeljebb 50 ms értéke. Ez a cél a vizsgált RTX 2080 Ti munkaállomáson teljesült, de alacsonyabb teljesítményű célhardverre nem terjeszthető ki.</w:t>
      </w:r>
    </w:p>
    <w:p>
      <w:pPr>
        <w:pStyle w:val="BodyText"/>
      </w:pPr>
      <w:r>
        <w:t xml:space="preserve">A bemutatási runtime kutatási eszköz maradt. A repository gyökerében található</w:t>
      </w:r>
      <w:r>
        <w:t xml:space="preserve"> </w:t>
      </w:r>
      <w:r>
        <w:rPr>
          <w:rStyle w:val="VerbatimChar"/>
        </w:rPr>
        <w:t xml:space="preserve">runtime/</w:t>
      </w:r>
      <w:r>
        <w:t xml:space="preserve"> </w:t>
      </w:r>
      <w:r>
        <w:t xml:space="preserve">ROS2 csomag szándékosan külön határ, és nem importálja a kutatási modult vagy az MMDetection3D tanítási infrastruktúráját. Fagyasztott, exportált deployment artifact és TensorRT backend még nincs.</w:t>
      </w:r>
    </w:p>
    <w:bookmarkEnd w:id="26"/>
    <w:bookmarkEnd w:id="27"/>
    <w:bookmarkStart w:id="32" w:name="lidar-és-3d-objektumdetektálási-háttér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LiDAR és 3D objektumdetektálási háttér</w:t>
      </w:r>
    </w:p>
    <w:bookmarkStart w:id="28" w:name="a-lidar-pontfelhő-jellemzői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4.1. A LiDAR-pontfelhő jellemzői</w:t>
      </w:r>
    </w:p>
    <w:p>
      <w:pPr>
        <w:pStyle w:val="FirstParagraph"/>
      </w:pPr>
      <w:r>
        <w:t xml:space="preserve">A LiDAR-szkenner a környezetet irányonként és távolság szerint mintavételezi. A nyers adat nem szabályos kép: a pontok száma, térbeli sűrűsége és megfigyelési minősége függ a tárgy távolságától, felületétől, takarásától és a szenzor forgási ciklusától. Egy pontfelhőben ezért egyszerre jelenik meg a ritkaság, a nem egyenletes mintavétel, a zaj és a mozgó platformból eredő időbeliség.</w:t>
      </w:r>
    </w:p>
    <w:p>
      <w:pPr>
        <w:pStyle w:val="BodyText"/>
      </w:pPr>
      <w:r>
        <w:t xml:space="preserve">A projekt bemenete négy csatornát használ: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és a negyedik LiDAR-funkció, amely a KITTI-előkészítésben a pont intenzitásához/reflektivitásához kötődik. A kamera nem része a kutatási detektor inputjának. Ez lényeges hatókör: a Lexus demonstrációban kamera is megjelenik Foxglove-ban, de a saját detector outputja nem kamera–LiDAR fúzióból származik.</w:t>
      </w:r>
    </w:p>
    <w:bookmarkEnd w:id="28"/>
    <w:bookmarkStart w:id="29" w:name="d-doboz-és-koordinátarendszer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4.2. 3D doboz és koordinátarendszer</w:t>
      </w:r>
    </w:p>
    <w:p>
      <w:pPr>
        <w:pStyle w:val="FirstParagraph"/>
      </w:pPr>
      <w:r>
        <w:t xml:space="preserve">A detektált objektumot a rendszer hétparaméteres LiDAR-koordinátás dobozzal írja 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b = (x, y, z, l, w, h,</w:t>
      </w:r>
      <w:r>
        <w:t xml:space="preserve"> </w:t>
      </w:r>
      <w:r>
        <w:t xml:space="preserve">),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ahol az első három elem a középpont, a következő három a méret, az utolsó pedig a vízszintes elfordulás. A CenterPoint fej ezen kívül középponti hőtérképet, lokális eltolást, magasságot, méretet és rotációt tanul. A repository kompatibilitási rétege a 7D dobozszerződést és a KITTI-kiértékeléshez szükséges formátumot rögzíti.</w:t>
      </w:r>
    </w:p>
    <w:p>
      <w:pPr>
        <w:pStyle w:val="BodyText"/>
      </w:pPr>
      <w:r>
        <w:t xml:space="preserve">A pontfelhő tartománya valamennyi saját finalistánál: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[0, -38{,}4, -3, 67{,}2, 38{,}4, 1] 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és a szűrés a határokon szigorú egyenlőtlenséget alkalmaz. A tartomány egységesítése nélkül a finomabb voxelmodell több térbeli cellát, a runtime pedig más mennyiségű pontot dolgozna fel; így a latency-összevetés és az accuracy comparison is értelmetlenné válna.</w:t>
      </w:r>
    </w:p>
    <w:bookmarkEnd w:id="29"/>
    <w:bookmarkStart w:id="30" w:name="detekciós-értékelés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4.3. Detekciós értékelés</w:t>
      </w:r>
    </w:p>
    <w:p>
      <w:pPr>
        <w:pStyle w:val="FirstParagraph"/>
      </w:pPr>
      <w:r>
        <w:t xml:space="preserve">A KITTI objektumdetektálási benchmarkja külön értékeli a 2D, BEV és teljes 3D egyezést</w:t>
      </w:r>
      <w:r>
        <w:t xml:space="preserve"> </w:t>
      </w:r>
      <w:r>
        <w:t xml:space="preserve">[1, 2]</w:t>
      </w:r>
      <w:r>
        <w:t xml:space="preserve">. A projekt elsődleges saját mutatója a</w:t>
      </w:r>
      <w:r>
        <w:t xml:space="preserve"> </w:t>
      </w:r>
      <w:r>
        <w:rPr>
          <w:rStyle w:val="VerbatimChar"/>
        </w:rPr>
        <w:t xml:space="preserve">Car_3D_AP40_moderate_strict</w:t>
      </w:r>
      <w:r>
        <w:t xml:space="preserve">, vagyis a Car osztály közepes nehézségű, szigorú 40 recall-pontos 3D AP-ja. A kiegészítő táblák a könnyű és nehéz szinteket, továbbá a BEV AP40-et is mutatják.</w:t>
      </w:r>
    </w:p>
    <w:p>
      <w:pPr>
        <w:pStyle w:val="BodyText"/>
      </w:pPr>
      <w:r>
        <w:t xml:space="preserve">Az AP40 azt méri, hogy a pontosság–visszahívás görbe 40 recall-pozícióra mintavételezett területe mekkora. A projektben nem számoltunk vissza olyan adatot, amely nincs az immutable evaluation eredményben: nincs kitalált precision–recall görbe, confusion matrix vagy per-frame statisztika. A multiclass evaluation 126 aggregált metrikát tárol, de párosított predikciós és ground-truth sorozatot nem; ezért abból ilyen grafikon nem vezethető le hitelesen.</w:t>
      </w:r>
    </w:p>
    <w:bookmarkEnd w:id="30"/>
    <w:bookmarkStart w:id="31" w:name="nehézségi-szintek-és-szigorú-profil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4.4. Nehézségi szintek és szigorú profil</w:t>
      </w:r>
    </w:p>
    <w:p>
      <w:pPr>
        <w:pStyle w:val="FirstParagraph"/>
      </w:pPr>
      <w:r>
        <w:t xml:space="preserve">A KITTI a tárgyak mérete, takarása és truncation értéke alapján könnyű, közepes és nehéz csoportokat használ. A közepes érték a modellválasztás elsődleges kompromisszum-mutatója, míg a könnyű és nehéz szeletek azt mutatják meg, hogy egy változás csak a tipikus, jól látható tárgyakon működik-e, vagy a kedvezőtlenebb példákon is.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jelölés nem egyszerű formázási változat, hanem a projekt kompatibilitási rétegében rögzített evaluation profile. A saját, hivatalos és importált runok ugyanazt a KITTI semantic partitiont, annotációt és AP40-kulcsot használják. A release-verzió címkéje hiányzik, ezért a comparison report ezt külön waiverként őrzi.</w:t>
      </w:r>
    </w:p>
    <w:bookmarkEnd w:id="31"/>
    <w:bookmarkEnd w:id="32"/>
    <w:bookmarkStart w:id="38" w:name="Xf56cf246057a86de6406f55e326be85731b7171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Voxel-, pillar-, CenterPoint-, PointPillars- és SECOND-alapok</w:t>
      </w:r>
    </w:p>
    <w:bookmarkStart w:id="33" w:name="voxelizálás-és-sparse-feldolgozás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5.1. Voxelizálás és sparse feldolgozás</w:t>
      </w:r>
    </w:p>
    <w:p>
      <w:pPr>
        <w:pStyle w:val="FirstParagraph"/>
      </w:pPr>
      <w:r>
        <w:t xml:space="preserve">A voxelizálás a folytonos térfogatot diszkrét cellákra osztja. Ha a térbeli cellaméret</w:t>
      </w:r>
      <w:r>
        <w:t xml:space="preserve"> </w:t>
      </w:r>
      <w:r>
        <w:rPr>
          <w:rStyle w:val="VerbatimChar"/>
        </w:rPr>
        <w:t xml:space="preserve">(v_x, v_y, v_z)</w:t>
      </w:r>
      <w:r>
        <w:t xml:space="preserve">, akkor egy pont cellaindexe a tartomány kezdőpontjához képest kvantált koordináta. A kisebb cella jobb térbeli felbontást adhat, de növeli a rács, az előfeldolgozás és a sparse feature computation költségét. A</w:t>
      </w:r>
      <w:r>
        <w:t xml:space="preserve"> </w:t>
      </w:r>
      <w:r>
        <w:rPr>
          <w:rStyle w:val="VerbatimChar"/>
        </w:rPr>
        <w:t xml:space="preserve">voxel01</w:t>
      </w:r>
      <w:r>
        <w:t xml:space="preserve"> </w:t>
      </w:r>
      <w:r>
        <w:t xml:space="preserve">0,1 m-es, a</w:t>
      </w:r>
      <w:r>
        <w:t xml:space="preserve"> </w:t>
      </w:r>
      <w:r>
        <w:rPr>
          <w:rStyle w:val="VerbatimChar"/>
        </w:rPr>
        <w:t xml:space="preserve">voxel0075</w:t>
      </w:r>
      <w:r>
        <w:t xml:space="preserve"> </w:t>
      </w:r>
      <w:r>
        <w:t xml:space="preserve">0,075 m-es vízszintes cellát alkalmaz; a kiválasztott Z-felbontásuk 0,1 m. A</w:t>
      </w:r>
      <w:r>
        <w:t xml:space="preserve"> </w:t>
      </w:r>
      <w:r>
        <w:rPr>
          <w:rStyle w:val="VerbatimChar"/>
        </w:rPr>
        <w:t xml:space="preserve">pillar02</w:t>
      </w:r>
      <w:r>
        <w:t xml:space="preserve"> </w:t>
      </w:r>
      <w:r>
        <w:t xml:space="preserve">a teljes 4 m-es Z-tartományt egy cellába sűríti, és 0,2 m-es vízszintes oszlopokat használ.</w:t>
      </w:r>
    </w:p>
    <w:p>
      <w:pPr>
        <w:pStyle w:val="BodyText"/>
      </w:pPr>
      <w:r>
        <w:t xml:space="preserve">A 0,2 m-es pillar-rács mérete 336 × 384 × 1. A</w:t>
      </w:r>
      <w:r>
        <w:t xml:space="preserve"> </w:t>
      </w:r>
      <w:r>
        <w:rPr>
          <w:rStyle w:val="VerbatimChar"/>
        </w:rPr>
        <w:t xml:space="preserve">voxel01</w:t>
      </w:r>
      <w:r>
        <w:t xml:space="preserve"> </w:t>
      </w:r>
      <w:r>
        <w:t xml:space="preserve">rácsa 672 × 768 × 40, a</w:t>
      </w:r>
      <w:r>
        <w:t xml:space="preserve"> </w:t>
      </w:r>
      <w:r>
        <w:rPr>
          <w:rStyle w:val="VerbatimChar"/>
        </w:rPr>
        <w:t xml:space="preserve">voxel0075</w:t>
      </w:r>
      <w:r>
        <w:t xml:space="preserve"> </w:t>
      </w:r>
      <w:r>
        <w:t xml:space="preserve">rácsa 896 × 1024 × 40. A finomabb rács nem automatikusan jobb: a detector feje, a sparse middle encoder, a GPU memória és a végponti overhead együtt határozza meg a tényleges eredményt.</w:t>
      </w:r>
    </w:p>
    <w:bookmarkEnd w:id="33"/>
    <w:bookmarkStart w:id="34" w:name="pillarfeaturenet-és-pointpillars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5.2. PillarFeatureNet és PointPillars</w:t>
      </w:r>
    </w:p>
    <w:p>
      <w:pPr>
        <w:pStyle w:val="FirstParagraph"/>
      </w:pPr>
      <w:r>
        <w:t xml:space="preserve">A PointPillars a pontokat függőleges, síkbeli oszlopokba rendezi, majd PointNet-szerű lokális feature-aggregációval minden nem üres oszlophoz vektort készít</w:t>
      </w:r>
      <w:r>
        <w:t xml:space="preserve"> </w:t>
      </w:r>
      <w:r>
        <w:t xml:space="preserve">[3]</w:t>
      </w:r>
      <w:r>
        <w:t xml:space="preserve">. Az így előálló BEV feature map szabályos 2D konvolúciós hálózattal dolgozható fel. A megközelítés fő előnye, hogy a 3D sparse konvolúció helyett a drága geometriai problémát 2D rácsra vetíti.</w:t>
      </w:r>
    </w:p>
    <w:p>
      <w:pPr>
        <w:pStyle w:val="BodyText"/>
      </w:pPr>
      <w:r>
        <w:t xml:space="preserve">A projekt</w:t>
      </w:r>
      <w:r>
        <w:t xml:space="preserve"> </w:t>
      </w:r>
      <w:r>
        <w:rPr>
          <w:rStyle w:val="VerbatimChar"/>
        </w:rPr>
        <w:t xml:space="preserve">pillar02</w:t>
      </w:r>
      <w:r>
        <w:t xml:space="preserve"> </w:t>
      </w:r>
      <w:r>
        <w:t xml:space="preserve">konfigurációja</w:t>
      </w:r>
      <w:r>
        <w:t xml:space="preserve"> </w:t>
      </w:r>
      <w:r>
        <w:rPr>
          <w:rStyle w:val="VerbatimChar"/>
        </w:rPr>
        <w:t xml:space="preserve">PillarFeatureNet</w:t>
      </w:r>
      <w:r>
        <w:t xml:space="preserve"> </w:t>
      </w:r>
      <w:r>
        <w:t xml:space="preserve">encodert,</w:t>
      </w:r>
      <w:r>
        <w:t xml:space="preserve"> </w:t>
      </w:r>
      <w:r>
        <w:rPr>
          <w:rStyle w:val="VerbatimChar"/>
        </w:rPr>
        <w:t xml:space="preserve">PointPillarsScatter</w:t>
      </w:r>
      <w:r>
        <w:t xml:space="preserve"> </w:t>
      </w:r>
      <w:r>
        <w:t xml:space="preserve">middle encodert, majd SECOND backbone-t és SECONDFPN necköt használ. Ez a belső pipeline az elnevezés szerint pillar-alapú CenterPoint, nem pedig a hivatalos PointPillars detector baseline teljes konfigurációja. A két fogalmat ezért a dokumentumban elkülönítjük:</w:t>
      </w:r>
      <w:r>
        <w:t xml:space="preserve"> </w:t>
      </w:r>
      <w:r>
        <w:rPr>
          <w:rStyle w:val="VerbatimChar"/>
        </w:rPr>
        <w:t xml:space="preserve">pillar02</w:t>
      </w:r>
      <w:r>
        <w:t xml:space="preserve"> </w:t>
      </w:r>
      <w:r>
        <w:t xml:space="preserve">a saját CenterPoint fejlesztési konfigurációja, míg az Official PointPillars MMDetection3D pretrained referencia.</w:t>
      </w:r>
    </w:p>
    <w:bookmarkEnd w:id="34"/>
    <w:bookmarkStart w:id="35" w:name="second-és-sparse-convolution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5.3. SECOND és sparse convolution</w:t>
      </w:r>
    </w:p>
    <w:p>
      <w:pPr>
        <w:pStyle w:val="FirstParagraph"/>
      </w:pPr>
      <w:r>
        <w:t xml:space="preserve">A SECOND a voxel feature-öket sparse konvolúciós middle layerrel és region proposal jellegű detekciós felépítéssel dolgozza fel</w:t>
      </w:r>
      <w:r>
        <w:t xml:space="preserve"> </w:t>
      </w:r>
      <w:r>
        <w:t xml:space="preserve">[4]</w:t>
      </w:r>
      <w:r>
        <w:t xml:space="preserve">. A ritka rács előnye, hogy a teljes térbeli dobozt nem kell sűrű tensorban tárolni. A saját</w:t>
      </w:r>
      <w:r>
        <w:t xml:space="preserve"> </w:t>
      </w:r>
      <w:r>
        <w:rPr>
          <w:rStyle w:val="VerbatimChar"/>
        </w:rPr>
        <w:t xml:space="preserve">voxel01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voxel0075</w:t>
      </w:r>
      <w:r>
        <w:t xml:space="preserve"> </w:t>
      </w:r>
      <w:r>
        <w:t xml:space="preserve">modellekben a voxel feature encoder, sparse middle encoder, SECOND backbone és SECONDFPN neck együtt adja a CenterPoint fej bemenetét.</w:t>
      </w:r>
    </w:p>
    <w:p>
      <w:pPr>
        <w:pStyle w:val="BodyText"/>
      </w:pPr>
      <w:r>
        <w:t xml:space="preserve">A SECOND név két szerepben jelenik meg a repositoryban. Egyrészt a voxel-alapú saját modellek egyik backbone-eleme, másrészt külön Official SECOND baseline, amelynek saját hivatalos configja, pretrained checkpointja és történeti importja van. A baseline összevetésben ezért nem csak a név, hanem a teljes canonical config- és checkpoint-azonosság dönt.</w:t>
      </w:r>
    </w:p>
    <w:bookmarkEnd w:id="35"/>
    <w:bookmarkStart w:id="36" w:name="centerpoint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5.4. CenterPoint</w:t>
      </w:r>
    </w:p>
    <w:p>
      <w:pPr>
        <w:pStyle w:val="FirstParagraph"/>
      </w:pPr>
      <w:r>
        <w:t xml:space="preserve">A CenterPoint a tárgyakat először középpontként detektálja, majd a középpontból regresszálja a méretet, irányt és egyéb attribútumokat</w:t>
      </w:r>
      <w:r>
        <w:t xml:space="preserve"> </w:t>
      </w:r>
      <w:r>
        <w:t xml:space="preserve">[5]</w:t>
      </w:r>
      <w:r>
        <w:t xml:space="preserve">. Ezzel a detekció nem a sok lehetséges orientációjú anchor enumerációjára támaszkodik. A projekt</w:t>
      </w:r>
      <w:r>
        <w:t xml:space="preserve"> </w:t>
      </w:r>
      <w:r>
        <w:rPr>
          <w:rStyle w:val="VerbatimChar"/>
        </w:rPr>
        <w:t xml:space="preserve">KittiCenterHead</w:t>
      </w:r>
      <w:r>
        <w:t xml:space="preserve"> </w:t>
      </w:r>
      <w:r>
        <w:t xml:space="preserve">feje egy vagy három osztályt kezelő taskot használ, 7D box kódolással, Gaussian focal classification loss-szal és L1 box regressziós loss-szal.</w:t>
      </w:r>
    </w:p>
    <w:p>
      <w:pPr>
        <w:pStyle w:val="BodyText"/>
      </w:pPr>
      <w:r>
        <w:t xml:space="preserve">A középponti hőtérkép minden cellában annak valószínűségét kódolja, hogy ott objektumközéppont található. A regressziós ág a diszkrét rácshoz viszonyított finom eltolást, magasságot, dimenziót és rotációt adja vissza. A dekóder ezután a post-center range, a score threshold és a rotated NMS alapján állítja elő a végső dobozokat.</w:t>
      </w:r>
    </w:p>
    <w:bookmarkEnd w:id="36"/>
    <w:bookmarkStart w:id="37" w:name="dcn-fejváltozatok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5.5. DCN fejváltozatok</w:t>
      </w:r>
    </w:p>
    <w:p>
      <w:pPr>
        <w:pStyle w:val="FirstParagraph"/>
      </w:pPr>
      <w:r>
        <w:t xml:space="preserve">A hatmodelles kampány a négy alapfelbontás-változat mellé két deformable convolution fejváltozatot is bevett. A</w:t>
      </w:r>
      <w:r>
        <w:t xml:space="preserve"> </w:t>
      </w:r>
      <w:r>
        <w:rPr>
          <w:rStyle w:val="VerbatimChar"/>
        </w:rPr>
        <w:t xml:space="preserve">pillar02-dcn</w:t>
      </w:r>
      <w:r>
        <w:t xml:space="preserve">,</w:t>
      </w:r>
      <w:r>
        <w:t xml:space="preserve"> </w:t>
      </w:r>
      <w:r>
        <w:rPr>
          <w:rStyle w:val="VerbatimChar"/>
        </w:rPr>
        <w:t xml:space="preserve">voxel01-dcn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voxel0075-dcn</w:t>
      </w:r>
      <w:r>
        <w:t xml:space="preserve"> </w:t>
      </w:r>
      <w:r>
        <w:t xml:space="preserve">a megfelelő alapmodell</w:t>
      </w:r>
      <w:r>
        <w:t xml:space="preserve"> </w:t>
      </w:r>
      <w:r>
        <w:rPr>
          <w:rStyle w:val="VerbatimChar"/>
        </w:rPr>
        <w:t xml:space="preserve">SeparateHead</w:t>
      </w:r>
      <w:r>
        <w:t xml:space="preserve"> </w:t>
      </w:r>
      <w:r>
        <w:t xml:space="preserve">komponensét</w:t>
      </w:r>
      <w:r>
        <w:t xml:space="preserve"> </w:t>
      </w:r>
      <w:r>
        <w:rPr>
          <w:rStyle w:val="VerbatimChar"/>
        </w:rPr>
        <w:t xml:space="preserve">DCNSeparateHead</w:t>
      </w:r>
      <w:r>
        <w:t xml:space="preserve"> </w:t>
      </w:r>
      <w:r>
        <w:t xml:space="preserve">változatra cseréli. Ez izolált fejváltoztatásként értelmezhető, miközben az adat, a tanítási időkeret, a score/NMS és a benchmark szerződés közös marad.</w:t>
      </w:r>
    </w:p>
    <w:p>
      <w:pPr>
        <w:pStyle w:val="BodyText"/>
      </w:pPr>
      <w:r>
        <w:t xml:space="preserve">Az eredmény nem igazolta a DCN hozzáadásának előnyét ebben a kampányban: minden DCN-változatot dominált a megfelelő nem-DCN változat a választott accuracy–latency térben. Ez nem általános állítás a DCN-ről; csak az itt rögzített adatokon, konfigurációkon és egyetlen futáson alapuló megfigyelés.</w:t>
      </w:r>
    </w:p>
    <w:bookmarkEnd w:id="37"/>
    <w:bookmarkEnd w:id="38"/>
    <w:bookmarkStart w:id="43" w:name="kitti-adathalmaz-és-adat-előkészíté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6. KITTI-adathalmaz és adat-előkészítés</w:t>
      </w:r>
    </w:p>
    <w:bookmarkStart w:id="39" w:name="kitti-szerepe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6.1. KITTI szerepe</w:t>
      </w:r>
    </w:p>
    <w:p>
      <w:pPr>
        <w:pStyle w:val="FirstParagraph"/>
      </w:pPr>
      <w:r>
        <w:t xml:space="preserve">A KITTI Vision Benchmark Suite az autonóm vezetéshez kapcsolódó több érzékelős adat- és értékelési feladatokat kínál</w:t>
      </w:r>
      <w:r>
        <w:t xml:space="preserve"> </w:t>
      </w:r>
      <w:r>
        <w:t xml:space="preserve">[1]</w:t>
      </w:r>
      <w:r>
        <w:t xml:space="preserve">. A projekt a KITTI Object Detection LiDAR részét használja. A kutatás saját ellenőrzött adatai a</w:t>
      </w:r>
      <w:r>
        <w:t xml:space="preserve"> </w:t>
      </w:r>
      <w:r>
        <w:rPr>
          <w:rStyle w:val="VerbatimChar"/>
        </w:rPr>
        <w:t xml:space="preserve">data/KITTI_Obj_Detect/</w:t>
      </w:r>
      <w:r>
        <w:t xml:space="preserve"> </w:t>
      </w:r>
      <w:r>
        <w:t xml:space="preserve">előkészített könyvtárban vannak, a konfigurációk pedig</w:t>
      </w:r>
      <w:r>
        <w:t xml:space="preserve"> </w:t>
      </w:r>
      <w:r>
        <w:rPr>
          <w:rStyle w:val="VerbatimChar"/>
        </w:rPr>
        <w:t xml:space="preserve">kitti_infos_train.pkl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kitti_infos_val.pkl</w:t>
      </w:r>
      <w:r>
        <w:t xml:space="preserve"> </w:t>
      </w:r>
      <w:r>
        <w:t xml:space="preserve">indexekre hivatkoznak.</w:t>
      </w:r>
    </w:p>
    <w:p>
      <w:pPr>
        <w:pStyle w:val="BodyText"/>
      </w:pPr>
      <w:r>
        <w:t xml:space="preserve">A rögzített split 3 712 tanító- és 3 769 validation mintát tartalmaz. A train és validation annotációkhoz fájlhash tartozik; a comparison ezen túlmenően dataset identity hash-t is tárol. A release-verzió mező minden releváns comparisonban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ezért a reportokban explicit</w:t>
      </w:r>
      <w:r>
        <w:t xml:space="preserve"> </w:t>
      </w:r>
      <w:r>
        <w:rPr>
          <w:rStyle w:val="VerbatimChar"/>
        </w:rPr>
        <w:t xml:space="preserve">accuracy.dataset.version</w:t>
      </w:r>
      <w:r>
        <w:t xml:space="preserve"> </w:t>
      </w:r>
      <w:r>
        <w:t xml:space="preserve">waiver szerepel. Ez a waiver nem teszi egyenlővé az adatot egy ismeretlen vagy eltérő készlettel: a semantic identity és az annotation hash-ek egyezése a cohorton belül megmaradt.</w:t>
      </w:r>
    </w:p>
    <w:bookmarkEnd w:id="39"/>
    <w:bookmarkStart w:id="40" w:name="pontbetöltés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6.2. Pontbetöltés</w:t>
      </w:r>
    </w:p>
    <w:p>
      <w:pPr>
        <w:pStyle w:val="FirstParagraph"/>
      </w:pPr>
      <w:r>
        <w:t xml:space="preserve">A tanító pipeline négy dimenziós LiDAR pontokat tölt be</w:t>
      </w:r>
      <w:r>
        <w:t xml:space="preserve"> </w:t>
      </w:r>
      <w:r>
        <w:rPr>
          <w:rStyle w:val="VerbatimChar"/>
        </w:rPr>
        <w:t xml:space="preserve">LIDAR</w:t>
      </w:r>
      <w:r>
        <w:t xml:space="preserve"> </w:t>
      </w:r>
      <w:r>
        <w:t xml:space="preserve">koordinátatípusban. A saját Car-only pipeline sorrendje a következő:</w:t>
      </w:r>
    </w:p>
    <w:p>
      <w:pPr>
        <w:numPr>
          <w:ilvl w:val="0"/>
          <w:numId w:val="1003"/>
        </w:numPr>
        <w:pStyle w:val="Compact"/>
      </w:pPr>
      <w:r>
        <w:t xml:space="preserve">pontok betöltése;</w:t>
      </w:r>
    </w:p>
    <w:p>
      <w:pPr>
        <w:numPr>
          <w:ilvl w:val="0"/>
          <w:numId w:val="1003"/>
        </w:numPr>
        <w:pStyle w:val="Compact"/>
      </w:pPr>
      <w:r>
        <w:t xml:space="preserve">3D annotációk és címkék betöltése;</w:t>
      </w:r>
    </w:p>
    <w:p>
      <w:pPr>
        <w:numPr>
          <w:ilvl w:val="0"/>
          <w:numId w:val="1003"/>
        </w:numPr>
        <w:pStyle w:val="Compact"/>
      </w:pPr>
      <w:r>
        <w:t xml:space="preserve">globális forgatás, skálázás és opcionális eltolás;</w:t>
      </w:r>
    </w:p>
    <w:p>
      <w:pPr>
        <w:numPr>
          <w:ilvl w:val="0"/>
          <w:numId w:val="1003"/>
        </w:numPr>
        <w:pStyle w:val="Compact"/>
      </w:pPr>
      <w:r>
        <w:t xml:space="preserve">vízszintes BEV tükrözés;</w:t>
      </w:r>
    </w:p>
    <w:p>
      <w:pPr>
        <w:numPr>
          <w:ilvl w:val="0"/>
          <w:numId w:val="1003"/>
        </w:numPr>
        <w:pStyle w:val="Compact"/>
      </w:pPr>
      <w:r>
        <w:t xml:space="preserve">pont- és objektumtartomány-szűrés;</w:t>
      </w:r>
    </w:p>
    <w:p>
      <w:pPr>
        <w:numPr>
          <w:ilvl w:val="0"/>
          <w:numId w:val="1003"/>
        </w:numPr>
        <w:pStyle w:val="Compact"/>
      </w:pPr>
      <w:r>
        <w:t xml:space="preserve">osztályszűrés és pontkeverés;</w:t>
      </w:r>
    </w:p>
    <w:p>
      <w:pPr>
        <w:numPr>
          <w:ilvl w:val="0"/>
          <w:numId w:val="1003"/>
        </w:numPr>
        <w:pStyle w:val="Compact"/>
      </w:pPr>
      <w:r>
        <w:t xml:space="preserve">az MMEngine 3D input-szerződésébe csomagolás.</w:t>
      </w:r>
    </w:p>
    <w:p>
      <w:pPr>
        <w:pStyle w:val="FirstParagraph"/>
      </w:pPr>
      <w:r>
        <w:t xml:space="preserve">A Car-only kampány szándékosan nem használ</w:t>
      </w:r>
      <w:r>
        <w:t xml:space="preserve"> </w:t>
      </w:r>
      <w:r>
        <w:rPr>
          <w:rStyle w:val="VerbatimChar"/>
        </w:rPr>
        <w:t xml:space="preserve">ObjectSample</w:t>
      </w:r>
      <w:r>
        <w:t xml:space="preserve"> </w:t>
      </w:r>
      <w:r>
        <w:t xml:space="preserve">adatbázis-samplinget. Ennek oka a jelenlegi előkészített adatkészletben hiányzó vagy kompatibilitási problémát okozó ground-plane környezet elkerülése. A multiclass kísérlet külön, a hivatalos MMDetection3D háromosztályos recipe-hoz igazodó adatbázis-sampling beállítást használ, ground plane nélkül. E két pipeline összevonása szakmailag hibás lenne, ezért a multiclass eredmény külön kezelendő.</w:t>
      </w:r>
    </w:p>
    <w:bookmarkEnd w:id="40"/>
    <w:bookmarkStart w:id="41" w:name="validation-és-test-határa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6.3. Validation és test határa</w:t>
      </w:r>
    </w:p>
    <w:p>
      <w:pPr>
        <w:pStyle w:val="FirstParagraph"/>
      </w:pPr>
      <w:r>
        <w:t xml:space="preserve">A projektben a</w:t>
      </w:r>
      <w:r>
        <w:t xml:space="preserve"> </w:t>
      </w:r>
      <w:r>
        <w:rPr>
          <w:rStyle w:val="VerbatimChar"/>
        </w:rPr>
        <w:t xml:space="preserve">val_dataloader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test_dataloader</w:t>
      </w:r>
      <w:r>
        <w:t xml:space="preserve"> </w:t>
      </w:r>
      <w:r>
        <w:t xml:space="preserve">a rögzített KITTI validation partíciót használja, és az evaluation result semantic partition mezője is</w:t>
      </w:r>
      <w:r>
        <w:t xml:space="preserve"> </w:t>
      </w:r>
      <w:r>
        <w:rPr>
          <w:rStyle w:val="VerbatimChar"/>
        </w:rPr>
        <w:t xml:space="preserve">KITTI validation</w:t>
      </w:r>
      <w:r>
        <w:t xml:space="preserve">. A dokumentumban ezért minden AP40 érték validation eredményként szerepel. Sealed KITTI test eredmény nincs, mivel a projekt nem töltött fel hivatalos evaluation szerverre értékelést, és nem rendelkezik a test labels fájljaival.</w:t>
      </w:r>
    </w:p>
    <w:p>
      <w:pPr>
        <w:pStyle w:val="BodyText"/>
      </w:pPr>
      <w:r>
        <w:t xml:space="preserve">Ez a megkülönböztetés különösen fontos a finalist kiválasztásnál: ugyanazt a validation adatot használtuk a modellek közötti mérésre, a 30 epochos döntésre és több köztes ellenőrzésre. Emiatt validation overfitting lehetséges. A validation eredmény jó modellválasztási evidence, de nem helyettesít egy előre lezárt, sealed test vizsgálatot.</w:t>
      </w:r>
    </w:p>
    <w:bookmarkEnd w:id="41"/>
    <w:bookmarkStart w:id="42" w:name="adat--és-annotációazonosság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6.4. Adat- és annotációazonosság</w:t>
      </w:r>
    </w:p>
    <w:p>
      <w:pPr>
        <w:pStyle w:val="FirstParagraph"/>
      </w:pPr>
      <w:r>
        <w:t xml:space="preserve">A comparison JSON-ok a modellértékek mellett ellenőrzik a következőket: dataset name, semantic partition, dataset identity, train- és validation annotation hash, class schema, metric profile, batch/workload és runtime környezet. Ismeretlen mező nem egyezik automatikusan. Ha egy mező nem áll rendelkezésre, az összehasonlítás csak megmaradó, konkrét waiverrel válik feloldhatóvá.</w:t>
      </w:r>
    </w:p>
    <w:bookmarkEnd w:id="42"/>
    <w:bookmarkEnd w:id="43"/>
    <w:bookmarkStart w:id="47" w:name="felhasznált-technológiák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7. Felhasznált technológiák</w:t>
      </w:r>
    </w:p>
    <w:bookmarkStart w:id="44" w:name="kutatási-szoftverstack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7.1. Kutatási szoftverstack</w:t>
      </w:r>
    </w:p>
    <w:p>
      <w:pPr>
        <w:pStyle w:val="FirstParagraph"/>
      </w:pPr>
      <w:r>
        <w:t xml:space="preserve">A futtatási környezet ellenőrzött fő komponensei: Python 3.10.20, PyTorch 2.1.2+cu121, CUDA 12.1, cuDNN 8.9.02, MMEngine 0.10.7, MMCV 2.1.0, MMDetection 3.3.0 és MMDetection3D 1.4.0. A modellek és a tanítási lifecycle PyTorch- és OpenMMLab-komponensekre épül</w:t>
      </w:r>
      <w:r>
        <w:t xml:space="preserve"> </w:t>
      </w:r>
      <w:r>
        <w:t xml:space="preserve">[6, 7]</w:t>
      </w:r>
      <w:r>
        <w:t xml:space="preserve">. A kampány benchmarkja NVIDIA GeForce RTX 2080 Ti kártyán, 575.57.08 NVIDIA driverrel futott.</w:t>
      </w:r>
    </w:p>
    <w:p>
      <w:pPr>
        <w:pStyle w:val="BodyText"/>
      </w:pPr>
      <w:r>
        <w:t xml:space="preserve">Az MMDetection3D checkout rögzített verziója v1.4.0, commit</w:t>
      </w:r>
      <w:r>
        <w:t xml:space="preserve"> </w:t>
      </w:r>
      <w:r>
        <w:rPr>
          <w:rStyle w:val="VerbatimChar"/>
        </w:rPr>
        <w:t xml:space="preserve">fe25f7a51d36e3702f961e198894580d83c4387b</w:t>
      </w:r>
      <w:r>
        <w:t xml:space="preserve">. A projekt saját kompatibilitási rétege kizárólag a szükséges CenterHead- és KITTI rotated-IoU eltéréseket kezeli. A canonical config, a result és a provenance fájl megőrzi a futtatáskor érvényesített forrásfájl-hash-eket.</w:t>
      </w:r>
    </w:p>
    <w:bookmarkEnd w:id="44"/>
    <w:bookmarkStart w:id="45" w:name="kutatási-lifecycle-és-tárolás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7.2. Kutatási lifecycle és tárolás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research/</w:t>
      </w:r>
      <w:r>
        <w:t xml:space="preserve"> </w:t>
      </w:r>
      <w:r>
        <w:t xml:space="preserve">csomag felelőssége a run, provenance, checkpoint, training, evaluation, benchmark és comparison. A</w:t>
      </w:r>
      <w:r>
        <w:t xml:space="preserve"> </w:t>
      </w:r>
      <w:r>
        <w:rPr>
          <w:rStyle w:val="VerbatimChar"/>
        </w:rPr>
        <w:t xml:space="preserve">research/tools/run.py</w:t>
      </w:r>
      <w:r>
        <w:t xml:space="preserve"> </w:t>
      </w:r>
      <w:r>
        <w:t xml:space="preserve">a catalog preset vagy explicit config alapján ugyanazon run-owned útvonalat használja. A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benchmark.py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compare.py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plot.py</w:t>
      </w:r>
      <w:r>
        <w:t xml:space="preserve"> </w:t>
      </w:r>
      <w:r>
        <w:t xml:space="preserve">explicit identitásokat vár; nem keres globálisan egy „valószínű” checkpointot.</w:t>
      </w:r>
    </w:p>
    <w:p>
      <w:pPr>
        <w:pStyle w:val="BodyText"/>
      </w:pPr>
      <w:r>
        <w:t xml:space="preserve">Az immutable eredményfájlok JSON-ban tárolják a bindingot, a payloadot, az állapotot és a provenance-t. A summary CSV-k nem a dokumentáció hivatalos eredményforrásai. A dokumentum számai a resolved comparison JSON-okból és a konkrét evaluation/benchmark</w:t>
      </w:r>
      <w:r>
        <w:t xml:space="preserve"> </w:t>
      </w:r>
      <w:r>
        <w:rPr>
          <w:rStyle w:val="VerbatimChar"/>
        </w:rPr>
        <w:t xml:space="preserve">result.json</w:t>
      </w:r>
      <w:r>
        <w:t xml:space="preserve"> </w:t>
      </w:r>
      <w:r>
        <w:t xml:space="preserve">fájlokból származnak.</w:t>
      </w:r>
    </w:p>
    <w:bookmarkEnd w:id="45"/>
    <w:bookmarkStart w:id="46" w:name="ros2-és-megjelenítés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7.3. ROS2 és megjelenítés</w:t>
      </w:r>
    </w:p>
    <w:p>
      <w:pPr>
        <w:pStyle w:val="FirstParagraph"/>
      </w:pPr>
      <w:r>
        <w:t xml:space="preserve">A demonstráció ROS2 Humble interfészekre épül: topicok, üzenettípusok, QoS-profilok, TF és rosbag2/MCAP. A ROS2 kommunikáció topic-alapú, a QoS pedig a history, depth, reliability és durability tulajdonságok kombinációja</w:t>
      </w:r>
      <w:r>
        <w:t xml:space="preserve"> </w:t>
      </w:r>
      <w:r>
        <w:t xml:space="preserve">[8, 9]</w:t>
      </w:r>
      <w:r>
        <w:t xml:space="preserve">. Foxglove-ban két út használható: élő Foxglove Bridge vagy előre rögzített MCAP visszajátszása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A detektorban a ROS és a nehéz ML-importok késleltetve történnek. Így a CLI help, a dry-run és a CPU-alapú tesztek GPU és teljes ROS környezet nélkül is vizsgálhatók. A futó modell azonban továbbra is a zárt finalist registryn keresztül kapja a run- és checkpointkötést.</w:t>
      </w:r>
    </w:p>
    <w:bookmarkEnd w:id="46"/>
    <w:bookmarkEnd w:id="47"/>
    <w:bookmarkStart w:id="56" w:name="X9e3116976d9270201647ab6ced39566bcbb5aef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8. A kutatási és futtatási rendszer architektúrája</w:t>
      </w:r>
    </w:p>
    <w:p>
      <w:pPr>
        <w:pStyle w:val="CaptionedFigure"/>
      </w:pPr>
      <w:bookmarkStart w:id="49" w:name="fig:architektura"/>
      <w:r>
        <w:drawing>
          <wp:inline>
            <wp:extent cx="5334000" cy="491844"/>
            <wp:effectExtent b="0" l="0" r="0" t="0"/>
            <wp:docPr descr="A kutatási és bemutatási útvonalak architektúrája." title="" id="1" name="Picture"/>
            <a:graphic>
              <a:graphicData uri="http://schemas.openxmlformats.org/drawingml/2006/picture">
                <pic:pic>
                  <pic:nvPicPr>
                    <pic:cNvPr descr="figures/rendszerarchitektura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A kutatási és bemutatási útvonalak architektúrája.</w:t>
      </w:r>
    </w:p>
    <w:p>
      <w:pPr>
        <w:pStyle w:val="BodyText"/>
      </w:pPr>
      <w:r>
        <w:rPr>
          <w:iCs/>
          <w:i/>
        </w:rPr>
        <w:t xml:space="preserve">1. ábra. A repository kutatási és ROS2/Foxglove útvonalának szerkezete.</w:t>
      </w:r>
    </w:p>
    <w:p>
      <w:pPr>
        <w:pStyle w:val="BodyText"/>
      </w:pPr>
      <w:r>
        <w:t xml:space="preserve">Adatforrás: a repository tárolt</w:t>
      </w:r>
      <w:r>
        <w:t xml:space="preserve"> </w:t>
      </w:r>
      <w:hyperlink r:id="rId50">
        <w:r>
          <w:rPr>
            <w:rStyle w:val="VerbatimChar"/>
          </w:rPr>
          <w:t xml:space="preserve">rendszerarchitektura.dot</w:t>
        </w:r>
      </w:hyperlink>
      <w:r>
        <w:t xml:space="preserve"> </w:t>
      </w:r>
      <w:r>
        <w:t xml:space="preserve">és az abból regenerált</w:t>
      </w:r>
      <w:r>
        <w:t xml:space="preserve"> </w:t>
      </w:r>
      <w:hyperlink r:id="rId51">
        <w:r>
          <w:rPr>
            <w:rStyle w:val="VerbatimChar"/>
          </w:rPr>
          <w:t xml:space="preserve">rendszerarchitektura.svg</w:t>
        </w:r>
      </w:hyperlink>
      <w:r>
        <w:t xml:space="preserve">. Értelmezés: a KITTI és a CenterPoint-konfigurációk tanítási artifactokat hoznak létre; a manifest és az immutable result a zárt finalist registrybe kerül, amely a ROS2 detektort és a Foxglove-megjelenítést szolgálja.</w:t>
      </w:r>
    </w:p>
    <w:bookmarkStart w:id="52" w:name="rétegek-és-határfelületek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8.1. Rétegek és határfelületek</w:t>
      </w:r>
    </w:p>
    <w:p>
      <w:pPr>
        <w:pStyle w:val="FirstParagraph"/>
      </w:pPr>
      <w:r>
        <w:t xml:space="preserve">A rendszer két fő része a kutatási lifecycle és a bemutatási playback. A kutatási rész a következő határpontokon működik:</w:t>
      </w:r>
    </w:p>
    <w:p>
      <w:pPr>
        <w:numPr>
          <w:ilvl w:val="0"/>
          <w:numId w:val="1004"/>
        </w:numPr>
        <w:pStyle w:val="Compact"/>
      </w:pPr>
      <w:r>
        <w:t xml:space="preserve">konfiguráció és dataset előkészítés;</w:t>
      </w:r>
    </w:p>
    <w:p>
      <w:pPr>
        <w:numPr>
          <w:ilvl w:val="0"/>
          <w:numId w:val="1004"/>
        </w:numPr>
        <w:pStyle w:val="Compact"/>
      </w:pPr>
      <w:r>
        <w:t xml:space="preserve">run és provenance létrehozása;</w:t>
      </w:r>
    </w:p>
    <w:p>
      <w:pPr>
        <w:numPr>
          <w:ilvl w:val="0"/>
          <w:numId w:val="1004"/>
        </w:numPr>
        <w:pStyle w:val="Compact"/>
      </w:pPr>
      <w:r>
        <w:t xml:space="preserve">train, evaluation és benchmark;</w:t>
      </w:r>
    </w:p>
    <w:p>
      <w:pPr>
        <w:numPr>
          <w:ilvl w:val="0"/>
          <w:numId w:val="1004"/>
        </w:numPr>
        <w:pStyle w:val="Compact"/>
      </w:pPr>
      <w:r>
        <w:t xml:space="preserve">eredménykötés és comparison;</w:t>
      </w:r>
    </w:p>
    <w:p>
      <w:pPr>
        <w:numPr>
          <w:ilvl w:val="0"/>
          <w:numId w:val="1004"/>
        </w:numPr>
        <w:pStyle w:val="Compact"/>
      </w:pPr>
      <w:r>
        <w:t xml:space="preserve">finalist artifact registry.</w:t>
      </w:r>
    </w:p>
    <w:p>
      <w:pPr>
        <w:pStyle w:val="FirstParagraph"/>
      </w:pPr>
      <w:r>
        <w:t xml:space="preserve">A bemutatási rész a registryből feloldott egyetlen modellt használja. A</w:t>
      </w:r>
      <w:r>
        <w:t xml:space="preserve"> </w:t>
      </w:r>
      <w:r>
        <w:rPr>
          <w:rStyle w:val="VerbatimChar"/>
        </w:rPr>
        <w:t xml:space="preserve">Mmdet3dDetector</w:t>
      </w:r>
      <w:r>
        <w:t xml:space="preserve"> </w:t>
      </w:r>
      <w:r>
        <w:t xml:space="preserve">a checkpointot betölti, a pontfelhő előfeldolgozását és a</w:t>
      </w:r>
      <w:r>
        <w:t xml:space="preserve"> </w:t>
      </w:r>
      <w:r>
        <w:rPr>
          <w:rStyle w:val="VerbatimChar"/>
        </w:rPr>
        <w:t xml:space="preserve">pred_instances_3d</w:t>
      </w:r>
      <w:r>
        <w:t xml:space="preserve"> </w:t>
      </w:r>
      <w:r>
        <w:t xml:space="preserve">kimenetet kezeli, majd</w:t>
      </w:r>
      <w:r>
        <w:t xml:space="preserve"> </w:t>
      </w:r>
      <w:r>
        <w:rPr>
          <w:rStyle w:val="VerbatimChar"/>
        </w:rPr>
        <w:t xml:space="preserve">DetectionFrame</w:t>
      </w:r>
      <w:r>
        <w:t xml:space="preserve"> </w:t>
      </w:r>
      <w:r>
        <w:t xml:space="preserve">szerződést ad a további ROS- és tracking-lépéseknek. A tracker nem a CenterPoint belső feature-jeit fogyasztja, hanem ezt a validált, modellfüggetlen frame-szerződést.</w:t>
      </w:r>
    </w:p>
    <w:bookmarkEnd w:id="52"/>
    <w:bookmarkStart w:id="53" w:name="kutatási-ág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8.2. Kutatási ág</w:t>
      </w:r>
    </w:p>
    <w:p>
      <w:pPr>
        <w:pStyle w:val="FirstParagraph"/>
      </w:pPr>
      <w:r>
        <w:t xml:space="preserve">A tanítás bemenete a KITTI train split és a canonical MMDetection3D config. A futás létrehozza saját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másolatát és hash-ét. A training directory a végső epoch checkpointja mellett a kiválasztott, metrikához kötött checkpointot is rögzíti. Az evaluation és benchmark csak explicit run identityval indulhat, eredményeik pedig run ID, config SHA-256 és checkpoint SHA-256 bindingot tartalmaznak.</w:t>
      </w:r>
    </w:p>
    <w:p>
      <w:pPr>
        <w:pStyle w:val="BodyText"/>
      </w:pPr>
      <w:r>
        <w:t xml:space="preserve">A comparison nem fedez fel új adatot. A hozzáadott sorokból és a megadott compatibility policyból állít elő rendezett, feloldott jelentést. A dokumentációba kerülő ábrák a megfelelő resolved comparison JSON-okhoz és a végleges asset-manifesthez kötődnek; a summary CSV-k nem hivatalos eredményforrások.</w:t>
      </w:r>
    </w:p>
    <w:bookmarkEnd w:id="53"/>
    <w:bookmarkStart w:id="54" w:name="ros2-playback-ág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8.3. ROS2 playback ág</w:t>
      </w:r>
    </w:p>
    <w:p>
      <w:pPr>
        <w:pStyle w:val="FirstParagraph"/>
      </w:pPr>
      <w:r>
        <w:t xml:space="preserve">A bemeneti pontfelhő topicja</w:t>
      </w:r>
      <w:r>
        <w:t xml:space="preserve"> </w:t>
      </w:r>
      <w:r>
        <w:rPr>
          <w:rStyle w:val="VerbatimChar"/>
        </w:rPr>
        <w:t xml:space="preserve">/lexus3/os_center/points</w:t>
      </w:r>
      <w:r>
        <w:t xml:space="preserve">, a target frame</w:t>
      </w:r>
      <w:r>
        <w:t xml:space="preserve"> </w:t>
      </w:r>
      <w:r>
        <w:rPr>
          <w:rStyle w:val="VerbatimChar"/>
        </w:rPr>
        <w:t xml:space="preserve">lexus3/base_link</w:t>
      </w:r>
      <w:r>
        <w:t xml:space="preserve">. A node a TF-ből kapott kalibrációval a detekciót base frame-be alakítja. A kimeneti prefix a modell aliasát tartalmazza, például</w:t>
      </w:r>
      <w:r>
        <w:t xml:space="preserve"> </w:t>
      </w:r>
      <w:r>
        <w:rPr>
          <w:rStyle w:val="VerbatimChar"/>
        </w:rPr>
        <w:t xml:space="preserve">/centerpoint/voxel0075</w:t>
      </w:r>
      <w:r>
        <w:t xml:space="preserve">. Az alap kimenetek a pontfelhő, a nyers</w:t>
      </w:r>
      <w:r>
        <w:t xml:space="preserve"> </w:t>
      </w:r>
      <w:r>
        <w:rPr>
          <w:rStyle w:val="VerbatimChar"/>
        </w:rPr>
        <w:t xml:space="preserve">Detection3DArray</w:t>
      </w:r>
      <w:r>
        <w:t xml:space="preserve">, a nyers marker és a diagnosztika; tracking engedélyezésekor ezekhez tracked detection, tracked marker és tracking diagnostics társul.</w:t>
      </w:r>
    </w:p>
    <w:p>
      <w:pPr>
        <w:pStyle w:val="BodyText"/>
      </w:pPr>
      <w:r>
        <w:t xml:space="preserve">A node csak a registry által elfogadott aliasokat használja:</w:t>
      </w:r>
      <w:r>
        <w:t xml:space="preserve"> </w:t>
      </w:r>
      <w:r>
        <w:rPr>
          <w:rStyle w:val="VerbatimChar"/>
        </w:rPr>
        <w:t xml:space="preserve">voxel0075</w:t>
      </w:r>
      <w:r>
        <w:t xml:space="preserve">,</w:t>
      </w:r>
      <w:r>
        <w:t xml:space="preserve"> </w:t>
      </w:r>
      <w:r>
        <w:rPr>
          <w:rStyle w:val="VerbatimChar"/>
        </w:rPr>
        <w:t xml:space="preserve">pillar02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pillar02_multiclass</w:t>
      </w:r>
      <w:r>
        <w:t xml:space="preserve">. Az Official PointPillars és Official SECOND alias jelenleg nincs ebben a registryben. Ezért a baseline-ok evaluation és benchmark evidence-e ellenére a közös Foxglove launcherben nem tekinthetők bemutatási modellnek.</w:t>
      </w:r>
    </w:p>
    <w:bookmarkEnd w:id="54"/>
    <w:bookmarkStart w:id="55" w:name="adatút-és-hibatűrés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8.4. Adatút és hibatűrés</w:t>
      </w:r>
    </w:p>
    <w:p>
      <w:pPr>
        <w:pStyle w:val="FirstParagraph"/>
      </w:pPr>
      <w:r>
        <w:t xml:space="preserve">A pontfelhő érkezésekor a coordinator queue-ba helyezi a munkát.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feldolgozási módban a megengedett queue-kapacitásig minden frame feldolgozható;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módban a node a legfrissebb frame-et részesíti előnyben, és a lecserélt frame-eket számlálja. A worker a generációt minden frame-hez hozzákapcsolja. Loop vagy backward clock jump után az előző generáció eredménye nem publikálható.</w:t>
      </w:r>
    </w:p>
    <w:p>
      <w:pPr>
        <w:pStyle w:val="BodyText"/>
      </w:pPr>
      <w:r>
        <w:t xml:space="preserve">Hiányzó vagy érvénytelen TF esetén a frame megáll a TF-szakaszban; a rendszer nem készít kitalált geometriai overlayt. Érvénytelen pontadat és feldolgozási hiba diagnosztikát eredményez. Tracking hiba esetén a tracking állapot és marker törlődik, de a valid nyers detekció továbbra is megmaradhat. Ez a nyers és származtatott kimenet felelősségének tudatos szétválasztása.</w:t>
      </w:r>
    </w:p>
    <w:bookmarkEnd w:id="55"/>
    <w:bookmarkEnd w:id="56"/>
    <w:bookmarkStart w:id="66" w:name="Xf6ecac422a650c8d830a735e0a45c3ad2ef2565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9. Reprodukálható run-, checkpoint- és evidence-kezelés</w:t>
      </w:r>
    </w:p>
    <w:bookmarkStart w:id="57" w:name="run-owned-identitás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9.1. Run-owned identitás</w:t>
      </w:r>
    </w:p>
    <w:p>
      <w:pPr>
        <w:pStyle w:val="FirstParagraph"/>
      </w:pPr>
      <w:r>
        <w:t xml:space="preserve">Egy run az adott kísérlet névvel azonosított, tartós könyvtára. A manifest legalább a run ID-t, a canonical config útvonalát és hash-ét, a dataset semantic identityt, az annotációs indexek hash-ét, a class schema-t, a training állapotát és a checkpointokat tartalmazza. A kiválasztott checkpoint nem pusztán egy fájlnév: méret és teljes SHA-256 tartozik hozzá.</w:t>
      </w:r>
    </w:p>
    <w:p>
      <w:pPr>
        <w:pStyle w:val="BodyText"/>
      </w:pPr>
      <w:r>
        <w:t xml:space="preserve">A run-local config azért fontos, mert a futás idején ténylegesen használt beállításokat kell visszaolvasni. A forrásconfig későbbi változása nem írhatja át a múltbeli futás értelmezését. A manifest a result fájlokkal együtt azt is megmutatja, hogy melyik config és checkpoint került kiértékelésre.</w:t>
      </w:r>
    </w:p>
    <w:bookmarkEnd w:id="57"/>
    <w:bookmarkStart w:id="58" w:name="immutable-evaluation-és-benchmark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9.2. Immutable evaluation és benchmark</w:t>
      </w:r>
    </w:p>
    <w:p>
      <w:pPr>
        <w:pStyle w:val="FirstParagraph"/>
      </w:pPr>
      <w:r>
        <w:t xml:space="preserve">Az evaluation</w:t>
      </w:r>
      <w:r>
        <w:t xml:space="preserve"> </w:t>
      </w:r>
      <w:r>
        <w:rPr>
          <w:rStyle w:val="VerbatimChar"/>
        </w:rPr>
        <w:t xml:space="preserve">result.json</w:t>
      </w:r>
      <w:r>
        <w:t xml:space="preserve"> </w:t>
      </w:r>
      <w:r>
        <w:t xml:space="preserve">a modell outputjából származó aggregált KITTI-metrikákat és a bindingot tartalmazza. A benchmark</w:t>
      </w:r>
      <w:r>
        <w:t xml:space="preserve"> </w:t>
      </w:r>
      <w:r>
        <w:rPr>
          <w:rStyle w:val="VerbatimChar"/>
        </w:rPr>
        <w:t xml:space="preserve">result.json</w:t>
      </w:r>
      <w:r>
        <w:t xml:space="preserve"> </w:t>
      </w:r>
      <w:r>
        <w:t xml:space="preserve">a mérési módszertant, hardvert, warm-upot, mérési minta-számot, percentilis-definíciót, memóriát, prediction és end-to-end scope-ot rögzíti. A status csak sikeres, ellenőrizhető futás után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.</w:t>
      </w:r>
    </w:p>
    <w:p>
      <w:pPr>
        <w:pStyle w:val="BodyText"/>
      </w:pPr>
      <w:r>
        <w:t xml:space="preserve">A latency két fogalma: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prediction</w:t>
      </w:r>
      <w:r>
        <w:t xml:space="preserve">: a modell</w:t>
      </w:r>
      <w:r>
        <w:t xml:space="preserve"> </w:t>
      </w:r>
      <w:r>
        <w:rPr>
          <w:rStyle w:val="VerbatimChar"/>
        </w:rPr>
        <w:t xml:space="preserve">test_step</w:t>
      </w:r>
      <w:r>
        <w:t xml:space="preserve"> </w:t>
      </w:r>
      <w:r>
        <w:t xml:space="preserve">ideje a pontbetöltés utáni szinkronizált szakaszban;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end-to-end</w:t>
      </w:r>
      <w:r>
        <w:t xml:space="preserve">:</w:t>
      </w:r>
      <w:r>
        <w:t xml:space="preserve"> </w:t>
      </w:r>
      <w:r>
        <w:rPr>
          <w:rStyle w:val="VerbatimChar"/>
        </w:rPr>
        <w:t xml:space="preserve">next(iterator) + model.test_step(batch)</w:t>
      </w:r>
      <w:r>
        <w:t xml:space="preserve">, vagyis az input iteratorból történő adat-előkészítés és a modelllépés együtt.</w:t>
      </w:r>
    </w:p>
    <w:p>
      <w:pPr>
        <w:pStyle w:val="FirstParagraph"/>
      </w:pPr>
      <w:r>
        <w:t xml:space="preserve">Mindkét időt CUDA-szinkronizációval mérjük. A benchmark 100 warm-up és 1 000 egymást követő minta után számol percentilist, batch size 1,</w:t>
      </w:r>
      <w:r>
        <w:t xml:space="preserve"> </w:t>
      </w:r>
      <w:r>
        <w:rPr>
          <w:rStyle w:val="VerbatimChar"/>
        </w:rPr>
        <w:t xml:space="preserve">num_workers=0</w:t>
      </w:r>
      <w:r>
        <w:t xml:space="preserve">,</w:t>
      </w:r>
      <w:r>
        <w:t xml:space="preserve"> </w:t>
      </w:r>
      <w:r>
        <w:rPr>
          <w:rStyle w:val="VerbatimChar"/>
        </w:rPr>
        <w:t xml:space="preserve">shuffle=false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persistent_workers=false</w:t>
      </w:r>
      <w:r>
        <w:t xml:space="preserve"> </w:t>
      </w:r>
      <w:r>
        <w:t xml:space="preserve">beállítással. A p95 a lineáris interpolációval számolt</w:t>
      </w:r>
      <w:r>
        <w:t xml:space="preserve"> </w:t>
      </w:r>
      <w:r>
        <w:rPr>
          <w:rStyle w:val="VerbatimChar"/>
        </w:rPr>
        <w:t xml:space="preserve">(n-1)q</w:t>
      </w:r>
      <w:r>
        <w:t xml:space="preserve"> </w:t>
      </w:r>
      <w:r>
        <w:t xml:space="preserve">percentilis.</w:t>
      </w:r>
    </w:p>
    <w:bookmarkEnd w:id="58"/>
    <w:bookmarkStart w:id="63" w:name="evidence-pipeline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9.3. Evidence pipeline</w:t>
      </w:r>
    </w:p>
    <w:p>
      <w:pPr>
        <w:pStyle w:val="CaptionedFigure"/>
      </w:pPr>
      <w:bookmarkStart w:id="60" w:name="fig:evidence"/>
      <w:r>
        <w:drawing>
          <wp:inline>
            <wp:extent cx="5334000" cy="3706132"/>
            <wp:effectExtent b="0" l="0" r="0" t="0"/>
            <wp:docPr descr="A saját evidence előállításának és dokumentálásának lánca." title="" id="1" name="Picture"/>
            <a:graphic>
              <a:graphicData uri="http://schemas.openxmlformats.org/drawingml/2006/picture">
                <pic:pic>
                  <pic:nvPicPr>
                    <pic:cNvPr descr="figures/evidence_pipeline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6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A saját evidence előállításának és dokumentálásának lánca.</w:t>
      </w:r>
    </w:p>
    <w:p>
      <w:pPr>
        <w:pStyle w:val="BodyText"/>
      </w:pPr>
      <w:r>
        <w:rPr>
          <w:iCs/>
          <w:i/>
        </w:rPr>
        <w:t xml:space="preserve">2. ábra. Az immutable saját eredményből a comparisonon és renderelt ábrán át a dokumentációig vezető bizonyítéklánc.</w:t>
      </w:r>
    </w:p>
    <w:p>
      <w:pPr>
        <w:pStyle w:val="BodyText"/>
      </w:pPr>
      <w:r>
        <w:t xml:space="preserve">Adatforrás: a tárolt</w:t>
      </w:r>
      <w:r>
        <w:t xml:space="preserve"> </w:t>
      </w:r>
      <w:hyperlink r:id="rId61">
        <w:r>
          <w:rPr>
            <w:rStyle w:val="VerbatimChar"/>
          </w:rPr>
          <w:t xml:space="preserve">evidence_pipeline.dot</w:t>
        </w:r>
      </w:hyperlink>
      <w:r>
        <w:t xml:space="preserve"> </w:t>
      </w:r>
      <w:r>
        <w:t xml:space="preserve">és</w:t>
      </w:r>
      <w:r>
        <w:t xml:space="preserve"> </w:t>
      </w:r>
      <w:hyperlink r:id="rId62">
        <w:r>
          <w:rPr>
            <w:rStyle w:val="VerbatimChar"/>
          </w:rPr>
          <w:t xml:space="preserve">evidence_pipeline.svg</w:t>
        </w:r>
      </w:hyperlink>
      <w:r>
        <w:t xml:space="preserve">. Értelmezés: a config-, dataset- és checkpoint-identitás előbb a run manifestben kötődik, ebből készül az evaluation és benchmark result, majd a kompatibilitás-ellenőrzött comparison szolgáltat a dokumentációnak feloldott számokat.</w:t>
      </w:r>
    </w:p>
    <w:bookmarkEnd w:id="63"/>
    <w:bookmarkStart w:id="64" w:name="comparison-és-waiver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9.4. Comparison és waiver</w:t>
      </w:r>
    </w:p>
    <w:p>
      <w:pPr>
        <w:pStyle w:val="FirstParagraph"/>
      </w:pPr>
      <w:r>
        <w:t xml:space="preserve">A comparison sorai csak azonosítható, kompatibilis runokból állhatnak. Accuracyhoz a dataset identity, class schema, metric profile és semantic partition lényeges; end-to-end runtime-hoz a hardver, host és szoftver környezet is. Az unknown és mismatch értékek nem kapnak csendes egyezést.</w:t>
      </w:r>
    </w:p>
    <w:p>
      <w:pPr>
        <w:pStyle w:val="BodyText"/>
      </w:pPr>
      <w:r>
        <w:t xml:space="preserve">Az összes saját comparison egy waiverrel él: a KITTI release label nem volt rögzítve. A pontos</w:t>
      </w:r>
      <w:r>
        <w:t xml:space="preserve"> </w:t>
      </w:r>
      <w:r>
        <w:rPr>
          <w:rStyle w:val="VerbatimChar"/>
        </w:rPr>
        <w:t xml:space="preserve">lidar-dataset-v2</w:t>
      </w:r>
      <w:r>
        <w:t xml:space="preserve"> </w:t>
      </w:r>
      <w:r>
        <w:t xml:space="preserve">identity és a train/validation annotation hash-ek egyeznek, ezért a cohorton belüli összehasonlítás feloldható. A waiver nem állítja, hogy a mérés minden lehetséges KITTI kiadással azonos lenne.</w:t>
      </w:r>
    </w:p>
    <w:bookmarkEnd w:id="64"/>
    <w:bookmarkStart w:id="65" w:name="artifact-registry"/>
    <w:p>
      <w:pPr>
        <w:pStyle w:val="Heading2"/>
      </w:pPr>
      <w:r>
        <w:rPr>
          <w:rStyle w:val="SectionNumber"/>
        </w:rPr>
        <w:t xml:space="preserve">9.5</w:t>
      </w:r>
      <w:r>
        <w:tab/>
      </w:r>
      <w:r>
        <w:t xml:space="preserve">9.5. Artifact registry</w:t>
      </w:r>
    </w:p>
    <w:p>
      <w:pPr>
        <w:pStyle w:val="FirstParagraph"/>
      </w:pPr>
      <w:r>
        <w:t xml:space="preserve">A zárt finalist registry a modell aliasát, run ID-ját, config SHA-256-át, checkpoint méretét és checkpoint SHA-256-át statikusan rögzíti. Feloldáskor ellenőrzi, hogy a run native, a manifest és a registry egyezik, a checkpoint a run könyvtárában található, hash-e és mérete helyes, valamint a binding visszavezethető. Tetszőleges checkpoint útvonal nem kerülhet be a valós felvétel bemutatási útvonalába.</w:t>
      </w:r>
    </w:p>
    <w:bookmarkEnd w:id="65"/>
    <w:bookmarkEnd w:id="66"/>
    <w:bookmarkStart w:id="79" w:name="Xff5860324009a0de5da7e7cbc1415326165fbc6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10. A hat Car-only modell és a kísérleti módszertan</w:t>
      </w:r>
    </w:p>
    <w:bookmarkStart w:id="69" w:name="a-hat-modell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10.1. A hat modell</w:t>
      </w:r>
    </w:p>
    <w:p>
      <w:pPr>
        <w:pStyle w:val="FirstParagraph"/>
      </w:pPr>
      <w:r>
        <w:t xml:space="preserve">A 20 epochos kampány minden sora ugyanazt az egyosztályos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feladatot, KITTI validation partíciót és 7D CenterPoint kimenetet használja.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33"/>
        <w:gridCol w:w="1033"/>
        <w:gridCol w:w="1721"/>
        <w:gridCol w:w="1377"/>
        <w:gridCol w:w="1377"/>
        <w:gridCol w:w="1377"/>
      </w:tblGrid>
      <w:tr>
        <w:tc>
          <w:p>
            <w:pPr>
              <w:pStyle w:val="Compact"/>
              <w:jc w:val="left"/>
            </w:pPr>
            <w:r>
              <w:t xml:space="preserve">Modell</w:t>
            </w:r>
          </w:p>
        </w:tc>
        <w:tc>
          <w:p>
            <w:pPr>
              <w:pStyle w:val="Compact"/>
              <w:jc w:val="left"/>
            </w:pPr>
            <w:r>
              <w:t xml:space="preserve">Pillar/voxel felépítés</w:t>
            </w:r>
          </w:p>
        </w:tc>
        <w:tc>
          <w:p>
            <w:pPr>
              <w:pStyle w:val="Compact"/>
              <w:jc w:val="center"/>
            </w:pPr>
            <w:r>
              <w:t xml:space="preserve">DCN fej</w:t>
            </w:r>
          </w:p>
        </w:tc>
        <w:tc>
          <w:p>
            <w:pPr>
              <w:pStyle w:val="Compact"/>
              <w:jc w:val="right"/>
            </w:pPr>
            <w:r>
              <w:t xml:space="preserve">3D AP40 moderate</w:t>
            </w:r>
          </w:p>
        </w:tc>
        <w:tc>
          <w:p>
            <w:pPr>
              <w:pStyle w:val="Compact"/>
              <w:jc w:val="right"/>
            </w:pPr>
            <w:r>
              <w:t xml:space="preserve">Prediction p95 (ms)</w:t>
            </w:r>
          </w:p>
        </w:tc>
        <w:tc>
          <w:p>
            <w:pPr>
              <w:pStyle w:val="Compact"/>
              <w:jc w:val="right"/>
            </w:pPr>
            <w:r>
              <w:t xml:space="preserve">End-to-end p95 (ms)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pillar02</w:t>
            </w:r>
          </w:p>
        </w:tc>
        <w:tc>
          <w:p>
            <w:pPr>
              <w:pStyle w:val="Compact"/>
              <w:jc w:val="left"/>
            </w:pPr>
            <w:r>
              <w:t xml:space="preserve">0,2 m pillar</w:t>
            </w:r>
          </w:p>
        </w:tc>
        <w:tc>
          <w:p>
            <w:pPr>
              <w:pStyle w:val="Compact"/>
              <w:jc w:val="center"/>
            </w:pPr>
            <w:r>
              <w:t xml:space="preserve">nem</w:t>
            </w:r>
          </w:p>
        </w:tc>
        <w:tc>
          <w:p>
            <w:pPr>
              <w:pStyle w:val="Compact"/>
              <w:jc w:val="right"/>
            </w:pPr>
            <w:r>
              <w:t xml:space="preserve">55,1909</w:t>
            </w:r>
          </w:p>
        </w:tc>
        <w:tc>
          <w:p>
            <w:pPr>
              <w:pStyle w:val="Compact"/>
              <w:jc w:val="right"/>
            </w:pPr>
            <w:r>
              <w:t xml:space="preserve">13,0762</w:t>
            </w:r>
          </w:p>
        </w:tc>
        <w:tc>
          <w:p>
            <w:pPr>
              <w:pStyle w:val="Compact"/>
              <w:jc w:val="right"/>
            </w:pPr>
            <w:r>
              <w:t xml:space="preserve">15,0032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pillar02-dcn</w:t>
            </w:r>
          </w:p>
        </w:tc>
        <w:tc>
          <w:p>
            <w:pPr>
              <w:pStyle w:val="Compact"/>
              <w:jc w:val="left"/>
            </w:pPr>
            <w:r>
              <w:t xml:space="preserve">0,2 m pillar</w:t>
            </w:r>
          </w:p>
        </w:tc>
        <w:tc>
          <w:p>
            <w:pPr>
              <w:pStyle w:val="Compact"/>
              <w:jc w:val="center"/>
            </w:pPr>
            <w:r>
              <w:t xml:space="preserve">igen</w:t>
            </w:r>
          </w:p>
        </w:tc>
        <w:tc>
          <w:p>
            <w:pPr>
              <w:pStyle w:val="Compact"/>
              <w:jc w:val="right"/>
            </w:pPr>
            <w:r>
              <w:t xml:space="preserve">54,4764</w:t>
            </w:r>
          </w:p>
        </w:tc>
        <w:tc>
          <w:p>
            <w:pPr>
              <w:pStyle w:val="Compact"/>
              <w:jc w:val="right"/>
            </w:pPr>
            <w:r>
              <w:t xml:space="preserve">13,2945</w:t>
            </w:r>
          </w:p>
        </w:tc>
        <w:tc>
          <w:p>
            <w:pPr>
              <w:pStyle w:val="Compact"/>
              <w:jc w:val="right"/>
            </w:pPr>
            <w:r>
              <w:t xml:space="preserve">15,0227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voxel01</w:t>
            </w:r>
          </w:p>
        </w:tc>
        <w:tc>
          <w:p>
            <w:pPr>
              <w:pStyle w:val="Compact"/>
              <w:jc w:val="left"/>
            </w:pPr>
            <w:r>
              <w:t xml:space="preserve">0,1 m voxel</w:t>
            </w:r>
          </w:p>
        </w:tc>
        <w:tc>
          <w:p>
            <w:pPr>
              <w:pStyle w:val="Compact"/>
              <w:jc w:val="center"/>
            </w:pPr>
            <w:r>
              <w:t xml:space="preserve">nem</w:t>
            </w:r>
          </w:p>
        </w:tc>
        <w:tc>
          <w:p>
            <w:pPr>
              <w:pStyle w:val="Compact"/>
              <w:jc w:val="right"/>
            </w:pPr>
            <w:r>
              <w:t xml:space="preserve">63,4699</w:t>
            </w:r>
          </w:p>
        </w:tc>
        <w:tc>
          <w:p>
            <w:pPr>
              <w:pStyle w:val="Compact"/>
              <w:jc w:val="right"/>
            </w:pPr>
            <w:r>
              <w:t xml:space="preserve">30,3351</w:t>
            </w:r>
          </w:p>
        </w:tc>
        <w:tc>
          <w:p>
            <w:pPr>
              <w:pStyle w:val="Compact"/>
              <w:jc w:val="right"/>
            </w:pPr>
            <w:r>
              <w:t xml:space="preserve">32,1264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voxel01-dcn</w:t>
            </w:r>
          </w:p>
        </w:tc>
        <w:tc>
          <w:p>
            <w:pPr>
              <w:pStyle w:val="Compact"/>
              <w:jc w:val="left"/>
            </w:pPr>
            <w:r>
              <w:t xml:space="preserve">0,1 m voxel</w:t>
            </w:r>
          </w:p>
        </w:tc>
        <w:tc>
          <w:p>
            <w:pPr>
              <w:pStyle w:val="Compact"/>
              <w:jc w:val="center"/>
            </w:pPr>
            <w:r>
              <w:t xml:space="preserve">igen</w:t>
            </w:r>
          </w:p>
        </w:tc>
        <w:tc>
          <w:p>
            <w:pPr>
              <w:pStyle w:val="Compact"/>
              <w:jc w:val="right"/>
            </w:pPr>
            <w:r>
              <w:t xml:space="preserve">63,2037</w:t>
            </w:r>
          </w:p>
        </w:tc>
        <w:tc>
          <w:p>
            <w:pPr>
              <w:pStyle w:val="Compact"/>
              <w:jc w:val="right"/>
            </w:pPr>
            <w:r>
              <w:t xml:space="preserve">33,5445</w:t>
            </w:r>
          </w:p>
        </w:tc>
        <w:tc>
          <w:p>
            <w:pPr>
              <w:pStyle w:val="Compact"/>
              <w:jc w:val="right"/>
            </w:pPr>
            <w:r>
              <w:t xml:space="preserve">35,4320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voxel0075</w:t>
            </w:r>
          </w:p>
        </w:tc>
        <w:tc>
          <w:p>
            <w:pPr>
              <w:pStyle w:val="Compact"/>
              <w:jc w:val="left"/>
            </w:pPr>
            <w:r>
              <w:t xml:space="preserve">0,075 m voxel</w:t>
            </w:r>
          </w:p>
        </w:tc>
        <w:tc>
          <w:p>
            <w:pPr>
              <w:pStyle w:val="Compact"/>
              <w:jc w:val="center"/>
            </w:pPr>
            <w:r>
              <w:t xml:space="preserve">nem</w:t>
            </w:r>
          </w:p>
        </w:tc>
        <w:tc>
          <w:p>
            <w:pPr>
              <w:pStyle w:val="Compact"/>
              <w:jc w:val="right"/>
            </w:pPr>
            <w:r>
              <w:t xml:space="preserve">66,1696</w:t>
            </w:r>
          </w:p>
        </w:tc>
        <w:tc>
          <w:p>
            <w:pPr>
              <w:pStyle w:val="Compact"/>
              <w:jc w:val="right"/>
            </w:pPr>
            <w:r>
              <w:t xml:space="preserve">33,6592</w:t>
            </w:r>
          </w:p>
        </w:tc>
        <w:tc>
          <w:p>
            <w:pPr>
              <w:pStyle w:val="Compact"/>
              <w:jc w:val="right"/>
            </w:pPr>
            <w:r>
              <w:t xml:space="preserve">35,3310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voxel0075-dcn</w:t>
            </w:r>
          </w:p>
        </w:tc>
        <w:tc>
          <w:p>
            <w:pPr>
              <w:pStyle w:val="Compact"/>
              <w:jc w:val="left"/>
            </w:pPr>
            <w:r>
              <w:t xml:space="preserve">0,075 m voxel</w:t>
            </w:r>
          </w:p>
        </w:tc>
        <w:tc>
          <w:p>
            <w:pPr>
              <w:pStyle w:val="Compact"/>
              <w:jc w:val="center"/>
            </w:pPr>
            <w:r>
              <w:t xml:space="preserve">igen</w:t>
            </w:r>
          </w:p>
        </w:tc>
        <w:tc>
          <w:p>
            <w:pPr>
              <w:pStyle w:val="Compact"/>
              <w:jc w:val="right"/>
            </w:pPr>
            <w:r>
              <w:t xml:space="preserve">66,0839</w:t>
            </w:r>
          </w:p>
        </w:tc>
        <w:tc>
          <w:p>
            <w:pPr>
              <w:pStyle w:val="Compact"/>
              <w:jc w:val="right"/>
            </w:pPr>
            <w:r>
              <w:t xml:space="preserve">35,6219</w:t>
            </w:r>
          </w:p>
        </w:tc>
        <w:tc>
          <w:p>
            <w:pPr>
              <w:pStyle w:val="Compact"/>
              <w:jc w:val="right"/>
            </w:pPr>
            <w:r>
              <w:t xml:space="preserve">37,6670</w:t>
            </w:r>
          </w:p>
        </w:tc>
      </w:tr>
    </w:tbl>
    <w:p>
      <w:pPr>
        <w:pStyle w:val="BodyText"/>
      </w:pPr>
      <w:r>
        <w:t xml:space="preserve">Adatforrás: az E1</w:t>
      </w:r>
      <w:r>
        <w:t xml:space="preserve"> </w:t>
      </w:r>
      <w:hyperlink r:id="rId67">
        <w:r>
          <w:rPr>
            <w:rStyle w:val="VerbatimChar"/>
          </w:rPr>
          <w:t xml:space="preserve">fresh-end-to-end-p95.json</w:t>
        </w:r>
      </w:hyperlink>
      <w:r>
        <w:t xml:space="preserve"> </w:t>
      </w:r>
      <w:r>
        <w:t xml:space="preserve">és az E2</w:t>
      </w:r>
      <w:r>
        <w:t xml:space="preserve"> </w:t>
      </w:r>
      <w:hyperlink r:id="rId68">
        <w:r>
          <w:rPr>
            <w:rStyle w:val="VerbatimChar"/>
          </w:rPr>
          <w:t xml:space="preserve">fresh-prediction-p95.json</w:t>
        </w:r>
      </w:hyperlink>
      <w:r>
        <w:t xml:space="preserve"> </w:t>
      </w:r>
      <w:r>
        <w:t xml:space="preserve">resolved comparisonok, minden érték közvetlenül a</w:t>
      </w:r>
      <w:r>
        <w:t xml:space="preserve"> </w:t>
      </w:r>
      <w:r>
        <w:rPr>
          <w:rStyle w:val="VerbatimChar"/>
        </w:rPr>
        <w:t xml:space="preserve">rows</w:t>
      </w:r>
      <w:r>
        <w:t xml:space="preserve"> </w:t>
      </w:r>
      <w:r>
        <w:t xml:space="preserve">objektumokból. Értelmezés: a</w:t>
      </w:r>
      <w:r>
        <w:t xml:space="preserve"> </w:t>
      </w:r>
      <w:r>
        <w:rPr>
          <w:rStyle w:val="VerbatimChar"/>
        </w:rPr>
        <w:t xml:space="preserve">voxel0075</w:t>
      </w:r>
      <w:r>
        <w:t xml:space="preserve"> </w:t>
      </w:r>
      <w:r>
        <w:t xml:space="preserve">adja a legjobb moderate 3D AP40-et, a</w:t>
      </w:r>
      <w:r>
        <w:t xml:space="preserve"> </w:t>
      </w:r>
      <w:r>
        <w:rPr>
          <w:rStyle w:val="VerbatimChar"/>
        </w:rPr>
        <w:t xml:space="preserve">pillar02</w:t>
      </w:r>
      <w:r>
        <w:t xml:space="preserve"> </w:t>
      </w:r>
      <w:r>
        <w:t xml:space="preserve">a legkisebb késleltetést; a DCN minden megfelelő alapmodellnél rontotta ezt a kétcélú profilt.</w:t>
      </w:r>
    </w:p>
    <w:bookmarkEnd w:id="69"/>
    <w:bookmarkStart w:id="70" w:name="közös-tanítási-beállítások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10.2. Közös tanítási beállítások</w:t>
      </w:r>
    </w:p>
    <w:p>
      <w:pPr>
        <w:pStyle w:val="FirstParagraph"/>
      </w:pPr>
      <w:r>
        <w:t xml:space="preserve">A Car-only konfigurációk</w:t>
      </w:r>
      <w:r>
        <w:t xml:space="preserve"> </w:t>
      </w:r>
      <w:r>
        <w:rPr>
          <w:rStyle w:val="VerbatimChar"/>
        </w:rPr>
        <w:t xml:space="preserve">AdamW</w:t>
      </w:r>
      <w:r>
        <w:t xml:space="preserve"> </w:t>
      </w:r>
      <w:r>
        <w:t xml:space="preserve">optimalizálót, 1e-4 learning rate-et, 0,01 weight decay-t és 35-ös gradiensnorma-korlátot használnak. A learning rate és momentum két fázisú cosine schedule-lel változik: az első szakasz 0–8 epoch, a második 8–20 epoch. A validation öt epochonként fut, a training batch size 1. A pipeline nem használ object samplinget.</w:t>
      </w:r>
    </w:p>
    <w:p>
      <w:pPr>
        <w:pStyle w:val="BodyText"/>
      </w:pPr>
      <w:r>
        <w:t xml:space="preserve">A hat run mindegyike 20 epochot teljesített, és saját successful evaluationt és synchronized benchmarkot kapott. A futtatási logika a tényleges kiválasztott, primary metrichez kapcsolt checkpointot használja; nem a fájlnevet vagy a legutolsó könyvtári fájlt feltételezi.</w:t>
      </w:r>
    </w:p>
    <w:bookmarkEnd w:id="70"/>
    <w:bookmarkStart w:id="71" w:name="mérés-és-rangsorolás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10.3. Mérés és rangsorolás</w:t>
      </w:r>
    </w:p>
    <w:p>
      <w:pPr>
        <w:pStyle w:val="FirstParagraph"/>
      </w:pPr>
      <w:r>
        <w:t xml:space="preserve">A pontosság szerinti rendezés csökkenő, a runtime szerinti rendezés növekvő. A resolved comparison competition rankinget használ; egyenlő értékek azonos rangot kapnak és megfelelő ranglyukat meghagyják. A Pareto-frontier olyan modell, amelyet nem dominál egy másik modell egyszerre legalább ugyanilyen pontossággal és legfeljebb ilyen p95 késleltetéssel.</w:t>
      </w:r>
    </w:p>
    <w:p>
      <w:pPr>
        <w:pStyle w:val="BodyText"/>
      </w:pPr>
      <w:r>
        <w:t xml:space="preserve">A hat modell end-to-end p95 értéke 50 ms alatt volt ezen a hardveren. Ez csak előzetes 20 Hz evidence. A prediction p95 önmagában nem elegendő a streaming rendszer megítéléséhez, ezért a modellválasztás fő runtime tengelye az end-to-end p95.</w:t>
      </w:r>
    </w:p>
    <w:bookmarkEnd w:id="71"/>
    <w:bookmarkStart w:id="75" w:name="accuracylatency-kompromisszum"/>
    <w:p>
      <w:pPr>
        <w:pStyle w:val="Heading2"/>
      </w:pPr>
      <w:r>
        <w:rPr>
          <w:rStyle w:val="SectionNumber"/>
        </w:rPr>
        <w:t xml:space="preserve">10.4</w:t>
      </w:r>
      <w:r>
        <w:tab/>
      </w:r>
      <w:r>
        <w:t xml:space="preserve">10.4. Accuracy–latency kompromisszum</w:t>
      </w:r>
    </w:p>
    <w:p>
      <w:pPr>
        <w:pStyle w:val="CaptionedFigure"/>
      </w:pPr>
      <w:bookmarkStart w:id="73" w:name="fig:pareto"/>
      <w:r>
        <w:drawing>
          <wp:inline>
            <wp:extent cx="5334000" cy="3020258"/>
            <wp:effectExtent b="0" l="0" r="0" t="0"/>
            <wp:docPr descr="A hat Car-only modell pontosság–késleltetés kompromisszuma." title="" id="1" name="Picture"/>
            <a:graphic>
              <a:graphicData uri="http://schemas.openxmlformats.org/drawingml/2006/picture">
                <pic:pic>
                  <pic:nvPicPr>
                    <pic:cNvPr descr="../presentation_assets/final/figures/hatmodell_pareto_3d_ap40_p95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0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A hat Car-only modell pontosság–késleltetés kompromisszuma.</w:t>
      </w:r>
    </w:p>
    <w:p>
      <w:pPr>
        <w:pStyle w:val="BodyText"/>
      </w:pPr>
      <w:r>
        <w:rPr>
          <w:iCs/>
          <w:i/>
        </w:rPr>
        <w:t xml:space="preserve">3. ábra. A hat 20 epochos Car-only modell moderate 3D AP40 és end-to-end p95 koordinátái; a szaggatott vonal a Pareto-frontier, a pontozott vonal az 50 ms cél.</w:t>
      </w:r>
    </w:p>
    <w:p>
      <w:pPr>
        <w:pStyle w:val="BodyText"/>
      </w:pPr>
      <w:r>
        <w:t xml:space="preserve">Adatforrás: E1</w:t>
      </w:r>
      <w:r>
        <w:t xml:space="preserve"> </w:t>
      </w:r>
      <w:hyperlink r:id="rId67">
        <w:r>
          <w:rPr>
            <w:rStyle w:val="VerbatimChar"/>
          </w:rPr>
          <w:t xml:space="preserve">fresh-end-to-end-p95.json</w:t>
        </w:r>
      </w:hyperlink>
      <w:r>
        <w:t xml:space="preserve">; a végső SVG/PNG az E8</w:t>
      </w:r>
      <w:r>
        <w:t xml:space="preserve"> </w:t>
      </w:r>
      <w:hyperlink r:id="rId74">
        <w:r>
          <w:rPr>
            <w:rStyle w:val="VerbatimChar"/>
          </w:rPr>
          <w:t xml:space="preserve">manifest.md</w:t>
        </w:r>
      </w:hyperlink>
      <w:r>
        <w:t xml:space="preserve"> </w:t>
      </w:r>
      <w:r>
        <w:t xml:space="preserve">szerint készült. Értelmezés: a frontier három pontja</w:t>
      </w:r>
      <w:r>
        <w:t xml:space="preserve"> </w:t>
      </w:r>
      <w:r>
        <w:rPr>
          <w:rStyle w:val="VerbatimChar"/>
        </w:rPr>
        <w:t xml:space="preserve">pillar02</w:t>
      </w:r>
      <w:r>
        <w:t xml:space="preserve">,</w:t>
      </w:r>
      <w:r>
        <w:t xml:space="preserve"> </w:t>
      </w:r>
      <w:r>
        <w:rPr>
          <w:rStyle w:val="VerbatimChar"/>
        </w:rPr>
        <w:t xml:space="preserve">voxel01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voxel0075</w:t>
      </w:r>
      <w:r>
        <w:t xml:space="preserve">; ezek különböző pontosság–késleltetés kompromisszumokat képviselnek, míg a DCN-változatok domináltak.</w:t>
      </w:r>
    </w:p>
    <w:bookmarkEnd w:id="75"/>
    <w:bookmarkStart w:id="78" w:name="prediction-és-end-to-end-scope"/>
    <w:p>
      <w:pPr>
        <w:pStyle w:val="Heading2"/>
      </w:pPr>
      <w:r>
        <w:rPr>
          <w:rStyle w:val="SectionNumber"/>
        </w:rPr>
        <w:t xml:space="preserve">10.5</w:t>
      </w:r>
      <w:r>
        <w:tab/>
      </w:r>
      <w:r>
        <w:t xml:space="preserve">10.5. Prediction és end-to-end scope</w:t>
      </w:r>
    </w:p>
    <w:p>
      <w:pPr>
        <w:pStyle w:val="CaptionedFigure"/>
      </w:pPr>
      <w:bookmarkStart w:id="77" w:name="fig:latencyscope"/>
      <w:r>
        <w:drawing>
          <wp:inline>
            <wp:extent cx="5334000" cy="3020258"/>
            <wp:effectExtent b="0" l="0" r="0" t="0"/>
            <wp:docPr descr="A prediction és end-to-end p95 összevetése." title="" id="1" name="Picture"/>
            <a:graphic>
              <a:graphicData uri="http://schemas.openxmlformats.org/drawingml/2006/picture">
                <pic:pic>
                  <pic:nvPicPr>
                    <pic:cNvPr descr="../presentation_assets/final/figures/hatmodell_p95_meresi_scope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0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A prediction és end-to-end p95 összevetése.</w:t>
      </w:r>
    </w:p>
    <w:p>
      <w:pPr>
        <w:pStyle w:val="BodyText"/>
      </w:pPr>
      <w:r>
        <w:rPr>
          <w:iCs/>
          <w:i/>
        </w:rPr>
        <w:t xml:space="preserve">4. ábra. A prediction-only és a teljes input-plusz-inference p95 összevetése a hat 20 epochos Car-only modellen.</w:t>
      </w:r>
    </w:p>
    <w:p>
      <w:pPr>
        <w:pStyle w:val="BodyText"/>
      </w:pPr>
      <w:r>
        <w:t xml:space="preserve">Adatforrás: E1 és E2 resolved comparison JSON, E8</w:t>
      </w:r>
      <w:r>
        <w:t xml:space="preserve"> </w:t>
      </w:r>
      <w:hyperlink r:id="rId74">
        <w:r>
          <w:rPr>
            <w:rStyle w:val="VerbatimChar"/>
          </w:rPr>
          <w:t xml:space="preserve">manifest.md</w:t>
        </w:r>
      </w:hyperlink>
      <w:r>
        <w:t xml:space="preserve">. Értelmezés: a két scope sorrendje hasonló; az end-to-end p95 minden modellnél magasabb, mert az input iterator és a hozzá tartozó szinkronizált adatút is beleszámít.</w:t>
      </w:r>
    </w:p>
    <w:bookmarkEnd w:id="78"/>
    <w:bookmarkEnd w:id="79"/>
    <w:bookmarkStart w:id="84" w:name="Xdebd4daf72c65472473b7cecbd13ffaed4475f3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11. Eredmények és a Pillar02/Voxel0075 finalisták kiválasztása</w:t>
      </w:r>
    </w:p>
    <w:bookmarkStart w:id="80" w:name="a-kiválasztás-döntési-logikája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11.1. A kiválasztás döntési logikája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voxel0075</w:t>
      </w:r>
      <w:r>
        <w:t xml:space="preserve"> </w:t>
      </w:r>
      <w:r>
        <w:t xml:space="preserve">azért lett accuracy finalist, mert mind a hat 20 epochos jelölt között a legmagasabb moderate Car 3D AP40-et érte el, 66,1696 értékkel. A</w:t>
      </w:r>
      <w:r>
        <w:t xml:space="preserve"> </w:t>
      </w:r>
      <w:r>
        <w:rPr>
          <w:rStyle w:val="VerbatimChar"/>
        </w:rPr>
        <w:t xml:space="preserve">pillar02</w:t>
      </w:r>
      <w:r>
        <w:t xml:space="preserve"> </w:t>
      </w:r>
      <w:r>
        <w:t xml:space="preserve">azért lett speed finalist, mert 15,0032 ms end-to-end p95-tel a leggyorsabb volt. A</w:t>
      </w:r>
      <w:r>
        <w:t xml:space="preserve"> </w:t>
      </w:r>
      <w:r>
        <w:rPr>
          <w:rStyle w:val="VerbatimChar"/>
        </w:rPr>
        <w:t xml:space="preserve">voxel01</w:t>
      </w:r>
      <w:r>
        <w:t xml:space="preserve"> </w:t>
      </w:r>
      <w:r>
        <w:t xml:space="preserve">a frontier köztes referenciája maradt, mert 63,4699 AP40 mellett 32,1264 ms p95-tel megmutatja, hogyan változik az érték a finom voxelrács és a pillar megoldás között.</w:t>
      </w:r>
    </w:p>
    <w:p>
      <w:pPr>
        <w:pStyle w:val="BodyText"/>
      </w:pPr>
      <w:r>
        <w:t xml:space="preserve">A DCN változatok kiesése nem külön kézi tiltás: a resolved adatok szerint a</w:t>
      </w:r>
      <w:r>
        <w:t xml:space="preserve"> </w:t>
      </w:r>
      <w:r>
        <w:rPr>
          <w:rStyle w:val="VerbatimChar"/>
        </w:rPr>
        <w:t xml:space="preserve">pillar02-dcn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pillar02</w:t>
      </w:r>
      <w:r>
        <w:t xml:space="preserve">-nél alacsonyabb AP40 és magasabb p95 értéket adott; ugyanígy a két voxel DCN változat is dominált volt a hozzá tartozó nem-DCN modellel szemben.</w:t>
      </w:r>
    </w:p>
    <w:bookmarkEnd w:id="80"/>
    <w:bookmarkStart w:id="81" w:name="részletes-car-only-ap40-profil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t xml:space="preserve">11.2. Részletes Car-only AP40-profil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485"/>
        <w:gridCol w:w="1980"/>
      </w:tblGrid>
      <w:tr>
        <w:tc>
          <w:p>
            <w:pPr>
              <w:pStyle w:val="Compact"/>
              <w:jc w:val="left"/>
            </w:pPr>
            <w:r>
              <w:t xml:space="preserve">Modell</w:t>
            </w:r>
          </w:p>
        </w:tc>
        <w:tc>
          <w:p>
            <w:pPr>
              <w:pStyle w:val="Compact"/>
              <w:jc w:val="left"/>
            </w:pPr>
            <w:r>
              <w:t xml:space="preserve">3D E / M / H AP40</w:t>
            </w:r>
          </w:p>
        </w:tc>
        <w:tc>
          <w:p>
            <w:pPr>
              <w:pStyle w:val="Compact"/>
              <w:jc w:val="left"/>
            </w:pPr>
            <w:r>
              <w:t xml:space="preserve">BEV E / M / H AP40</w:t>
            </w:r>
          </w:p>
        </w:tc>
        <w:tc>
          <w:p>
            <w:pPr>
              <w:pStyle w:val="Compact"/>
              <w:jc w:val="left"/>
            </w:pPr>
            <w:r>
              <w:t xml:space="preserve">Peak allocated / reserved (MiB)</w:t>
            </w:r>
          </w:p>
        </w:tc>
        <w:tc>
          <w:p>
            <w:pPr>
              <w:pStyle w:val="Compact"/>
              <w:jc w:val="right"/>
            </w:pPr>
            <w:r>
              <w:t xml:space="preserve">Checkpoint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pillar02</w:t>
            </w:r>
          </w:p>
        </w:tc>
        <w:tc>
          <w:p>
            <w:pPr>
              <w:pStyle w:val="Compact"/>
              <w:jc w:val="left"/>
            </w:pPr>
            <w:r>
              <w:t xml:space="preserve">68,9758 / 55,1909 / 49,7370</w:t>
            </w:r>
          </w:p>
        </w:tc>
        <w:tc>
          <w:p>
            <w:pPr>
              <w:pStyle w:val="Compact"/>
              <w:jc w:val="left"/>
            </w:pPr>
            <w:r>
              <w:t xml:space="preserve">85,6702 / 75,6608 / 71,1751</w:t>
            </w:r>
          </w:p>
        </w:tc>
        <w:tc>
          <w:p>
            <w:pPr>
              <w:pStyle w:val="Compact"/>
              <w:jc w:val="left"/>
            </w:pPr>
            <w:r>
              <w:t xml:space="preserve">147,00 / 428,00</w:t>
            </w:r>
          </w:p>
        </w:tc>
        <w:tc>
          <w:p>
            <w:pPr>
              <w:pStyle w:val="Compact"/>
              <w:jc w:val="right"/>
            </w:pPr>
            <w:r>
              <w:t xml:space="preserve">27,92 MiB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pillar02-dcn</w:t>
            </w:r>
          </w:p>
        </w:tc>
        <w:tc>
          <w:p>
            <w:pPr>
              <w:pStyle w:val="Compact"/>
              <w:jc w:val="left"/>
            </w:pPr>
            <w:r>
              <w:t xml:space="preserve">67,8525 / 54,4764 / 49,1181</w:t>
            </w:r>
          </w:p>
        </w:tc>
        <w:tc>
          <w:p>
            <w:pPr>
              <w:pStyle w:val="Compact"/>
              <w:jc w:val="left"/>
            </w:pPr>
            <w:r>
              <w:t xml:space="preserve">85,0416 / 76,1997 / 70,5335</w:t>
            </w:r>
          </w:p>
        </w:tc>
        <w:tc>
          <w:p>
            <w:pPr>
              <w:pStyle w:val="Compact"/>
              <w:jc w:val="left"/>
            </w:pPr>
            <w:r>
              <w:t xml:space="preserve">147,15 / 428,00</w:t>
            </w:r>
          </w:p>
        </w:tc>
        <w:tc>
          <w:p>
            <w:pPr>
              <w:pStyle w:val="Compact"/>
              <w:jc w:val="right"/>
            </w:pPr>
            <w:r>
              <w:t xml:space="preserve">28,07 MiB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voxel01</w:t>
            </w:r>
          </w:p>
        </w:tc>
        <w:tc>
          <w:p>
            <w:pPr>
              <w:pStyle w:val="Compact"/>
              <w:jc w:val="left"/>
            </w:pPr>
            <w:r>
              <w:t xml:space="preserve">77,0919 / 63,4699 / 59,3189</w:t>
            </w:r>
          </w:p>
        </w:tc>
        <w:tc>
          <w:p>
            <w:pPr>
              <w:pStyle w:val="Compact"/>
              <w:jc w:val="left"/>
            </w:pPr>
            <w:r>
              <w:t xml:space="preserve">87,8771 / 79,5111 / 75,0574</w:t>
            </w:r>
          </w:p>
        </w:tc>
        <w:tc>
          <w:p>
            <w:pPr>
              <w:pStyle w:val="Compact"/>
              <w:jc w:val="left"/>
            </w:pPr>
            <w:r>
              <w:t xml:space="preserve">175,38 / 338,00</w:t>
            </w:r>
          </w:p>
        </w:tc>
        <w:tc>
          <w:p>
            <w:pPr>
              <w:pStyle w:val="Compact"/>
              <w:jc w:val="right"/>
            </w:pPr>
            <w:r>
              <w:t xml:space="preserve">39,27 MiB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voxel01-dcn</w:t>
            </w:r>
          </w:p>
        </w:tc>
        <w:tc>
          <w:p>
            <w:pPr>
              <w:pStyle w:val="Compact"/>
              <w:jc w:val="left"/>
            </w:pPr>
            <w:r>
              <w:t xml:space="preserve">77,3834 / 63,2037 / 57,1101</w:t>
            </w:r>
          </w:p>
        </w:tc>
        <w:tc>
          <w:p>
            <w:pPr>
              <w:pStyle w:val="Compact"/>
              <w:jc w:val="left"/>
            </w:pPr>
            <w:r>
              <w:t xml:space="preserve">87,2715 / 79,0291 / 74,2529</w:t>
            </w:r>
          </w:p>
        </w:tc>
        <w:tc>
          <w:p>
            <w:pPr>
              <w:pStyle w:val="Compact"/>
              <w:jc w:val="left"/>
            </w:pPr>
            <w:r>
              <w:t xml:space="preserve">183,97 / 230,00</w:t>
            </w:r>
          </w:p>
        </w:tc>
        <w:tc>
          <w:p>
            <w:pPr>
              <w:pStyle w:val="Compact"/>
              <w:jc w:val="right"/>
            </w:pPr>
            <w:r>
              <w:t xml:space="preserve">39,42 MiB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voxel0075</w:t>
            </w:r>
          </w:p>
        </w:tc>
        <w:tc>
          <w:p>
            <w:pPr>
              <w:pStyle w:val="Compact"/>
              <w:jc w:val="left"/>
            </w:pPr>
            <w:r>
              <w:t xml:space="preserve">78,4480 / 66,1696 / 62,1959</w:t>
            </w:r>
          </w:p>
        </w:tc>
        <w:tc>
          <w:p>
            <w:pPr>
              <w:pStyle w:val="Compact"/>
              <w:jc w:val="left"/>
            </w:pPr>
            <w:r>
              <w:t xml:space="preserve">88,0176 / 82,0890 / 77,8536</w:t>
            </w:r>
          </w:p>
        </w:tc>
        <w:tc>
          <w:p>
            <w:pPr>
              <w:pStyle w:val="Compact"/>
              <w:jc w:val="left"/>
            </w:pPr>
            <w:r>
              <w:t xml:space="preserve">100,44 / 170,00</w:t>
            </w:r>
          </w:p>
        </w:tc>
        <w:tc>
          <w:p>
            <w:pPr>
              <w:pStyle w:val="Compact"/>
              <w:jc w:val="right"/>
            </w:pPr>
            <w:r>
              <w:t xml:space="preserve">39,27 MiB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voxel0075-dcn</w:t>
            </w:r>
          </w:p>
        </w:tc>
        <w:tc>
          <w:p>
            <w:pPr>
              <w:pStyle w:val="Compact"/>
              <w:jc w:val="left"/>
            </w:pPr>
            <w:r>
              <w:t xml:space="preserve">78,3704 / 66,0839 / 62,0737</w:t>
            </w:r>
          </w:p>
        </w:tc>
        <w:tc>
          <w:p>
            <w:pPr>
              <w:pStyle w:val="Compact"/>
              <w:jc w:val="left"/>
            </w:pPr>
            <w:r>
              <w:t xml:space="preserve">87,6705 / 81,8192 / 77,6229</w:t>
            </w:r>
          </w:p>
        </w:tc>
        <w:tc>
          <w:p>
            <w:pPr>
              <w:pStyle w:val="Compact"/>
              <w:jc w:val="left"/>
            </w:pPr>
            <w:r>
              <w:t xml:space="preserve">117,02 / 186,00</w:t>
            </w:r>
          </w:p>
        </w:tc>
        <w:tc>
          <w:p>
            <w:pPr>
              <w:pStyle w:val="Compact"/>
              <w:jc w:val="right"/>
            </w:pPr>
            <w:r>
              <w:t xml:space="preserve">39,42 MiB</w:t>
            </w:r>
          </w:p>
        </w:tc>
      </w:tr>
    </w:tbl>
    <w:p>
      <w:pPr>
        <w:pStyle w:val="BodyText"/>
      </w:pPr>
      <w:r>
        <w:t xml:space="preserve">Adatforrás: E1 resolved</w:t>
      </w:r>
      <w:r>
        <w:t xml:space="preserve"> </w:t>
      </w:r>
      <w:r>
        <w:rPr>
          <w:rStyle w:val="VerbatimChar"/>
        </w:rPr>
        <w:t xml:space="preserve">ap40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latency_statistics</w:t>
      </w:r>
      <w:r>
        <w:t xml:space="preserve"> </w:t>
      </w:r>
      <w:r>
        <w:t xml:space="preserve">és memória/checkpoint mezők; a hat run az E1-ben felsorolt evaluation- és benchmark result ID-khez kötött. Értelmezés: a</w:t>
      </w:r>
      <w:r>
        <w:t xml:space="preserve"> </w:t>
      </w:r>
      <w:r>
        <w:rPr>
          <w:rStyle w:val="VerbatimChar"/>
        </w:rPr>
        <w:t xml:space="preserve">voxel0075</w:t>
      </w:r>
      <w:r>
        <w:t xml:space="preserve"> </w:t>
      </w:r>
      <w:r>
        <w:t xml:space="preserve">nemcsak a kiválasztott moderate szeletben, hanem mindhárom 3D AP40 nehézségi szinten a legerősebb; a</w:t>
      </w:r>
      <w:r>
        <w:t xml:space="preserve"> </w:t>
      </w:r>
      <w:r>
        <w:rPr>
          <w:rStyle w:val="VerbatimChar"/>
        </w:rPr>
        <w:t xml:space="preserve">pillar02</w:t>
      </w:r>
      <w:r>
        <w:t xml:space="preserve"> </w:t>
      </w:r>
      <w:r>
        <w:t xml:space="preserve">jelentős pontosságot ad alacsony késleltetés mellett.</w:t>
      </w:r>
    </w:p>
    <w:bookmarkEnd w:id="81"/>
    <w:bookmarkStart w:id="83" w:name="a-védett-bemutatási-artifactok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t xml:space="preserve">11.3. A védett bemutatási artifactok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50"/>
        <w:gridCol w:w="1250"/>
        <w:gridCol w:w="1667"/>
        <w:gridCol w:w="1250"/>
        <w:gridCol w:w="1250"/>
        <w:gridCol w:w="1250"/>
      </w:tblGrid>
      <w:tr>
        <w:tc>
          <w:p>
            <w:pPr>
              <w:pStyle w:val="Compact"/>
              <w:jc w:val="left"/>
            </w:pPr>
            <w:r>
              <w:t xml:space="preserve">Szerep</w:t>
            </w:r>
          </w:p>
        </w:tc>
        <w:tc>
          <w:p>
            <w:pPr>
              <w:pStyle w:val="Compact"/>
              <w:jc w:val="left"/>
            </w:pPr>
            <w:r>
              <w:t xml:space="preserve">Modell</w:t>
            </w:r>
          </w:p>
        </w:tc>
        <w:tc>
          <w:p>
            <w:pPr>
              <w:pStyle w:val="Compact"/>
              <w:jc w:val="right"/>
            </w:pPr>
            <w:r>
              <w:t xml:space="preserve">Epoch</w:t>
            </w:r>
          </w:p>
        </w:tc>
        <w:tc>
          <w:p>
            <w:pPr>
              <w:pStyle w:val="Compact"/>
              <w:jc w:val="left"/>
            </w:pPr>
            <w:r>
              <w:t xml:space="preserve">Run ID</w:t>
            </w:r>
          </w:p>
        </w:tc>
        <w:tc>
          <w:p>
            <w:pPr>
              <w:pStyle w:val="Compact"/>
              <w:jc w:val="left"/>
            </w:pPr>
            <w:r>
              <w:t xml:space="preserve">Config SHA-256</w:t>
            </w:r>
          </w:p>
        </w:tc>
        <w:tc>
          <w:p>
            <w:pPr>
              <w:pStyle w:val="Compact"/>
              <w:jc w:val="left"/>
            </w:pPr>
            <w:r>
              <w:t xml:space="preserve">Kiválasztott checkpoint SHA-256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Pontossági bemutató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voxel0075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20260827T092043Z-voxel0075-e583a40f435e3071e0cbd6fc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723749a5dc262ed1e57304092f12694d8f062c4a4158e2d65be685a47874c1b5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5246b24bfe66a81df3bc6ca94db982f0188b33043f25771c40d02be4bcb22507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Kis késleltetésű tartalék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pillar02</w:t>
            </w:r>
          </w:p>
        </w:tc>
        <w:tc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20260901T195416Z-pillar02-duration30-2720f37cf422c4e55bafd0a6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ebed7d29b96cae0812ede9e572ffb1ba054d650ad62cb1c6c8895697fcb3a5d9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2606a3448cd9edc97b662b0ea8631ea828ed1ba7fe64578bba1f2f5b650c8cac</w:t>
            </w:r>
          </w:p>
        </w:tc>
      </w:tr>
    </w:tbl>
    <w:p>
      <w:pPr>
        <w:pStyle w:val="BodyText"/>
      </w:pPr>
      <w:r>
        <w:t xml:space="preserve">Adatforrás: E10</w:t>
      </w:r>
      <w:r>
        <w:t xml:space="preserve"> </w:t>
      </w:r>
      <w:hyperlink r:id="rId82">
        <w:r>
          <w:rPr>
            <w:rStyle w:val="VerbatimChar"/>
          </w:rPr>
          <w:t xml:space="preserve">presentation_handoff.md</w:t>
        </w:r>
      </w:hyperlink>
      <w:r>
        <w:t xml:space="preserve">, valamint a registry és az E3 resolved comparison. Értelmezés: a védett aliasok a run-local artifactokat és teljes SHA-256 értékeket rögzítik; a demonstrációban a</w:t>
      </w:r>
      <w:r>
        <w:t xml:space="preserve"> </w:t>
      </w:r>
      <w:r>
        <w:rPr>
          <w:rStyle w:val="VerbatimChar"/>
        </w:rPr>
        <w:t xml:space="preserve">voxel0075</w:t>
      </w:r>
      <w:r>
        <w:t xml:space="preserve"> </w:t>
      </w:r>
      <w:r>
        <w:t xml:space="preserve">az alapértelmezett, a</w:t>
      </w:r>
      <w:r>
        <w:t xml:space="preserve"> </w:t>
      </w:r>
      <w:r>
        <w:rPr>
          <w:rStyle w:val="VerbatimChar"/>
        </w:rPr>
        <w:t xml:space="preserve">pillar02</w:t>
      </w:r>
      <w:r>
        <w:t xml:space="preserve"> </w:t>
      </w:r>
      <w:r>
        <w:t xml:space="preserve">a gyors fallback.</w:t>
      </w:r>
    </w:p>
    <w:bookmarkEnd w:id="83"/>
    <w:bookmarkEnd w:id="84"/>
    <w:bookmarkStart w:id="92" w:name="a-20-és-30-epochos-finalista-vizsgálat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12. A 20 és 30 epochos finalista-vizsgálat</w:t>
      </w:r>
    </w:p>
    <w:bookmarkStart w:id="85" w:name="kísérleti-kérdés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12.1. Kísérleti kérdés</w:t>
      </w:r>
    </w:p>
    <w:p>
      <w:pPr>
        <w:pStyle w:val="FirstParagraph"/>
      </w:pPr>
      <w:r>
        <w:t xml:space="preserve">A 20 epochos kampány megmutatta a modellválasztást, de nem válaszolta meg, hogy a finalisták túl korán álltak-e le. Ezért a</w:t>
      </w:r>
      <w:r>
        <w:t xml:space="preserve"> </w:t>
      </w:r>
      <w:r>
        <w:rPr>
          <w:rStyle w:val="VerbatimChar"/>
        </w:rPr>
        <w:t xml:space="preserve">voxel0075</w:t>
      </w:r>
      <w:r>
        <w:t xml:space="preserve"> </w:t>
      </w:r>
      <w:r>
        <w:t xml:space="preserve">és a</w:t>
      </w:r>
      <w:r>
        <w:t xml:space="preserve"> </w:t>
      </w:r>
      <w:r>
        <w:rPr>
          <w:rStyle w:val="VerbatimChar"/>
        </w:rPr>
        <w:t xml:space="preserve">pillar02</w:t>
      </w:r>
      <w:r>
        <w:t xml:space="preserve"> </w:t>
      </w:r>
      <w:r>
        <w:t xml:space="preserve">új, 30 epochos futást kapott. A változó nem pusztán a cél epoch volt: a kétfázisú scheduler szakaszai arányosan 0–12 és 12–30 epochra nyúltak. Így a kísérlet a training duration és a schedule duration együttes hatását méri.</w:t>
      </w:r>
    </w:p>
    <w:bookmarkEnd w:id="85"/>
    <w:bookmarkStart w:id="87" w:name="párosított-eredmények"/>
    <w:p>
      <w:pPr>
        <w:pStyle w:val="Heading2"/>
      </w:pPr>
      <w:r>
        <w:rPr>
          <w:rStyle w:val="SectionNumber"/>
        </w:rPr>
        <w:t xml:space="preserve">12.2</w:t>
      </w:r>
      <w:r>
        <w:tab/>
      </w:r>
      <w:r>
        <w:t xml:space="preserve">12.2. Párosított eredmények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50"/>
        <w:gridCol w:w="1667"/>
        <w:gridCol w:w="1250"/>
        <w:gridCol w:w="1250"/>
        <w:gridCol w:w="1250"/>
        <w:gridCol w:w="1250"/>
      </w:tblGrid>
      <w:tr>
        <w:tc>
          <w:p>
            <w:pPr>
              <w:pStyle w:val="Compact"/>
              <w:jc w:val="left"/>
            </w:pPr>
            <w:r>
              <w:t xml:space="preserve">Modell</w:t>
            </w:r>
          </w:p>
        </w:tc>
        <w:tc>
          <w:p>
            <w:pPr>
              <w:pStyle w:val="Compact"/>
              <w:jc w:val="right"/>
            </w:pPr>
            <w:r>
              <w:t xml:space="preserve">Epoch</w:t>
            </w:r>
          </w:p>
        </w:tc>
        <w:tc>
          <w:p>
            <w:pPr>
              <w:pStyle w:val="Compact"/>
              <w:jc w:val="left"/>
            </w:pPr>
            <w:r>
              <w:t xml:space="preserve">3D AP40 E / M / H</w:t>
            </w:r>
          </w:p>
        </w:tc>
        <w:tc>
          <w:p>
            <w:pPr>
              <w:pStyle w:val="Compact"/>
              <w:jc w:val="left"/>
            </w:pPr>
            <w:r>
              <w:t xml:space="preserve">BEV AP40 E / M / H</w:t>
            </w:r>
          </w:p>
        </w:tc>
        <w:tc>
          <w:p>
            <w:pPr>
              <w:pStyle w:val="Compact"/>
              <w:jc w:val="left"/>
            </w:pPr>
            <w:r>
              <w:t xml:space="preserve">Prediction p50 / p95 (ms)</w:t>
            </w:r>
          </w:p>
        </w:tc>
        <w:tc>
          <w:p>
            <w:pPr>
              <w:pStyle w:val="Compact"/>
              <w:jc w:val="left"/>
            </w:pPr>
            <w:r>
              <w:t xml:space="preserve">End-to-end p50 / p95 (ms)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voxel0075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78,4480 / 66,1696 / 62,1959</w:t>
            </w:r>
          </w:p>
        </w:tc>
        <w:tc>
          <w:p>
            <w:pPr>
              <w:pStyle w:val="Compact"/>
              <w:jc w:val="left"/>
            </w:pPr>
            <w:r>
              <w:t xml:space="preserve">88,0176 / 82,0890 / 77,8536</w:t>
            </w:r>
          </w:p>
        </w:tc>
        <w:tc>
          <w:p>
            <w:pPr>
              <w:pStyle w:val="Compact"/>
              <w:jc w:val="left"/>
            </w:pPr>
            <w:r>
              <w:t xml:space="preserve">31,2469 / 33,6592</w:t>
            </w:r>
          </w:p>
        </w:tc>
        <w:tc>
          <w:p>
            <w:pPr>
              <w:pStyle w:val="Compact"/>
              <w:jc w:val="left"/>
            </w:pPr>
            <w:r>
              <w:t xml:space="preserve">32,8995 / 35,3310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voxel0075</w:t>
            </w:r>
          </w:p>
        </w:tc>
        <w:tc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77,2638 / 65,8049 / 62,0019</w:t>
            </w:r>
          </w:p>
        </w:tc>
        <w:tc>
          <w:p>
            <w:pPr>
              <w:pStyle w:val="Compact"/>
              <w:jc w:val="left"/>
            </w:pPr>
            <w:r>
              <w:t xml:space="preserve">87,5701 / 80,0926 / 77,7030</w:t>
            </w:r>
          </w:p>
        </w:tc>
        <w:tc>
          <w:p>
            <w:pPr>
              <w:pStyle w:val="Compact"/>
              <w:jc w:val="left"/>
            </w:pPr>
            <w:r>
              <w:t xml:space="preserve">32,0940 / 39,6069</w:t>
            </w:r>
          </w:p>
        </w:tc>
        <w:tc>
          <w:p>
            <w:pPr>
              <w:pStyle w:val="Compact"/>
              <w:jc w:val="left"/>
            </w:pPr>
            <w:r>
              <w:t xml:space="preserve">33,9328 / 42,0169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pillar02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68,9758 / 55,1909 / 49,7370</w:t>
            </w:r>
          </w:p>
        </w:tc>
        <w:tc>
          <w:p>
            <w:pPr>
              <w:pStyle w:val="Compact"/>
              <w:jc w:val="left"/>
            </w:pPr>
            <w:r>
              <w:t xml:space="preserve">85,6702 / 75,6608 / 71,1751</w:t>
            </w:r>
          </w:p>
        </w:tc>
        <w:tc>
          <w:p>
            <w:pPr>
              <w:pStyle w:val="Compact"/>
              <w:jc w:val="left"/>
            </w:pPr>
            <w:r>
              <w:t xml:space="preserve">12,5046 / 13,0762</w:t>
            </w:r>
          </w:p>
        </w:tc>
        <w:tc>
          <w:p>
            <w:pPr>
              <w:pStyle w:val="Compact"/>
              <w:jc w:val="left"/>
            </w:pPr>
            <w:r>
              <w:t xml:space="preserve">14,2425 / 15,0032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pillar02</w:t>
            </w:r>
          </w:p>
        </w:tc>
        <w:tc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73,2703 / 59,3263 / 53,6976</w:t>
            </w:r>
          </w:p>
        </w:tc>
        <w:tc>
          <w:p>
            <w:pPr>
              <w:pStyle w:val="Compact"/>
              <w:jc w:val="left"/>
            </w:pPr>
            <w:r>
              <w:t xml:space="preserve">87,7711 / 77,0989 / 74,4106</w:t>
            </w:r>
          </w:p>
        </w:tc>
        <w:tc>
          <w:p>
            <w:pPr>
              <w:pStyle w:val="Compact"/>
              <w:jc w:val="left"/>
            </w:pPr>
            <w:r>
              <w:t xml:space="preserve">12,6915 / 13,2319</w:t>
            </w:r>
          </w:p>
        </w:tc>
        <w:tc>
          <w:p>
            <w:pPr>
              <w:pStyle w:val="Compact"/>
              <w:jc w:val="left"/>
            </w:pPr>
            <w:r>
              <w:t xml:space="preserve">14,4154 / 15,0919</w:t>
            </w:r>
          </w:p>
        </w:tc>
      </w:tr>
    </w:tbl>
    <w:p>
      <w:pPr>
        <w:pStyle w:val="BodyText"/>
      </w:pPr>
      <w:r>
        <w:t xml:space="preserve">Adatforrás: E3</w:t>
      </w:r>
      <w:r>
        <w:t xml:space="preserve"> </w:t>
      </w:r>
      <w:hyperlink r:id="rId86">
        <w:r>
          <w:rPr>
            <w:rStyle w:val="VerbatimChar"/>
          </w:rPr>
          <w:t xml:space="preserve">paired-end-to-end-p95.json</w:t>
        </w:r>
      </w:hyperlink>
      <w:r>
        <w:t xml:space="preserve">; a négy sor evaluation- és benchmark result ID-hez, valamint run-owned config/checkpoint hash-hez kötött. Értelmezés: a 30 epoch a</w:t>
      </w:r>
      <w:r>
        <w:t xml:space="preserve"> </w:t>
      </w:r>
      <w:r>
        <w:rPr>
          <w:rStyle w:val="VerbatimChar"/>
        </w:rPr>
        <w:t xml:space="preserve">pillar02</w:t>
      </w:r>
      <w:r>
        <w:t xml:space="preserve"> </w:t>
      </w:r>
      <w:r>
        <w:t xml:space="preserve">minden megadott AP40-szeletét javította, a</w:t>
      </w:r>
      <w:r>
        <w:t xml:space="preserve"> </w:t>
      </w:r>
      <w:r>
        <w:rPr>
          <w:rStyle w:val="VerbatimChar"/>
        </w:rPr>
        <w:t xml:space="preserve">voxel0075</w:t>
      </w:r>
      <w:r>
        <w:t xml:space="preserve"> </w:t>
      </w:r>
      <w:r>
        <w:t xml:space="preserve">minden szeletét rontotta; a p95 változása a voxel esetén nagyobb.</w:t>
      </w:r>
    </w:p>
    <w:bookmarkEnd w:id="87"/>
    <w:bookmarkStart w:id="88" w:name="a-változások-számszerűen"/>
    <w:p>
      <w:pPr>
        <w:pStyle w:val="Heading2"/>
      </w:pPr>
      <w:r>
        <w:rPr>
          <w:rStyle w:val="SectionNumber"/>
        </w:rPr>
        <w:t xml:space="preserve">12.3</w:t>
      </w:r>
      <w:r>
        <w:tab/>
      </w:r>
      <w:r>
        <w:t xml:space="preserve">12.3. A változások számszerűen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Modell</w:t>
            </w:r>
          </w:p>
        </w:tc>
        <w:tc>
          <w:p>
            <w:pPr>
              <w:pStyle w:val="Compact"/>
              <w:jc w:val="left"/>
            </w:pPr>
            <w:r>
              <w:t xml:space="preserve">3D AP40 E / M / H változás</w:t>
            </w:r>
          </w:p>
        </w:tc>
        <w:tc>
          <w:p>
            <w:pPr>
              <w:pStyle w:val="Compact"/>
              <w:jc w:val="left"/>
            </w:pPr>
            <w:r>
              <w:t xml:space="preserve">BEV AP40 E / M / H változás</w:t>
            </w:r>
          </w:p>
        </w:tc>
        <w:tc>
          <w:p>
            <w:pPr>
              <w:pStyle w:val="Compact"/>
              <w:jc w:val="left"/>
            </w:pPr>
            <w:r>
              <w:t xml:space="preserve">End-to-end p50 / p95 változás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voxel0075</w:t>
            </w:r>
            <w:r>
              <w:t xml:space="preserve"> </w:t>
            </w:r>
            <w:r>
              <w:t xml:space="preserve">30–20</w:t>
            </w:r>
          </w:p>
        </w:tc>
        <w:tc>
          <w:p>
            <w:pPr>
              <w:pStyle w:val="Compact"/>
              <w:jc w:val="left"/>
            </w:pPr>
            <w:r>
              <w:t xml:space="preserve">−1,1842 / −0,3647 / −0,1940</w:t>
            </w:r>
          </w:p>
        </w:tc>
        <w:tc>
          <w:p>
            <w:pPr>
              <w:pStyle w:val="Compact"/>
              <w:jc w:val="left"/>
            </w:pPr>
            <w:r>
              <w:t xml:space="preserve">−0,4475 / −1,9964 / −0,1506</w:t>
            </w:r>
          </w:p>
        </w:tc>
        <w:tc>
          <w:p>
            <w:pPr>
              <w:pStyle w:val="Compact"/>
              <w:jc w:val="left"/>
            </w:pPr>
            <w:r>
              <w:t xml:space="preserve">+1,0333 / +6,6860 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pillar02</w:t>
            </w:r>
            <w:r>
              <w:t xml:space="preserve"> </w:t>
            </w:r>
            <w:r>
              <w:t xml:space="preserve">30–20</w:t>
            </w:r>
          </w:p>
        </w:tc>
        <w:tc>
          <w:p>
            <w:pPr>
              <w:pStyle w:val="Compact"/>
              <w:jc w:val="left"/>
            </w:pPr>
            <w:r>
              <w:t xml:space="preserve">+4,2945 / +4,1354 / +3,9606</w:t>
            </w:r>
          </w:p>
        </w:tc>
        <w:tc>
          <w:p>
            <w:pPr>
              <w:pStyle w:val="Compact"/>
              <w:jc w:val="left"/>
            </w:pPr>
            <w:r>
              <w:t xml:space="preserve">+2,1009 / +1,4381 / +3,2355</w:t>
            </w:r>
          </w:p>
        </w:tc>
        <w:tc>
          <w:p>
            <w:pPr>
              <w:pStyle w:val="Compact"/>
              <w:jc w:val="left"/>
            </w:pPr>
            <w:r>
              <w:t xml:space="preserve">+0,1729 / +0,0886 ms</w:t>
            </w:r>
          </w:p>
        </w:tc>
      </w:tr>
    </w:tbl>
    <w:p>
      <w:pPr>
        <w:pStyle w:val="BodyText"/>
      </w:pPr>
      <w:r>
        <w:t xml:space="preserve">Adatforrás: E3 resolved comparison</w:t>
      </w:r>
      <w:r>
        <w:t xml:space="preserve"> </w:t>
      </w:r>
      <w:r>
        <w:rPr>
          <w:rStyle w:val="VerbatimChar"/>
        </w:rPr>
        <w:t xml:space="preserve">rows</w:t>
      </w:r>
      <w:r>
        <w:t xml:space="preserve"> </w:t>
      </w:r>
      <w:r>
        <w:t xml:space="preserve">és a report README-ben rögzített, újraszámolt delta értékek. Értelmezés: a két modell eltérő tanulási pályát mutat; a</w:t>
      </w:r>
      <w:r>
        <w:t xml:space="preserve"> </w:t>
      </w:r>
      <w:r>
        <w:rPr>
          <w:rStyle w:val="VerbatimChar"/>
        </w:rPr>
        <w:t xml:space="preserve">pillar02</w:t>
      </w:r>
      <w:r>
        <w:t xml:space="preserve"> </w:t>
      </w:r>
      <w:r>
        <w:t xml:space="preserve">30 epochos folytatása hasznosnak, a</w:t>
      </w:r>
      <w:r>
        <w:t xml:space="preserve"> </w:t>
      </w:r>
      <w:r>
        <w:rPr>
          <w:rStyle w:val="VerbatimChar"/>
        </w:rPr>
        <w:t xml:space="preserve">voxel0075</w:t>
      </w:r>
      <w:r>
        <w:t xml:space="preserve"> </w:t>
      </w:r>
      <w:r>
        <w:t xml:space="preserve">folytatása a vizsgált beállításban kedvezőtlennek bizonyult.</w:t>
      </w:r>
    </w:p>
    <w:bookmarkEnd w:id="88"/>
    <w:bookmarkStart w:id="91" w:name="kiválasztási-döntés"/>
    <w:p>
      <w:pPr>
        <w:pStyle w:val="Heading2"/>
      </w:pPr>
      <w:r>
        <w:rPr>
          <w:rStyle w:val="SectionNumber"/>
        </w:rPr>
        <w:t xml:space="preserve">12.4</w:t>
      </w:r>
      <w:r>
        <w:tab/>
      </w:r>
      <w:r>
        <w:t xml:space="preserve">12.4. Kiválasztási döntés</w:t>
      </w:r>
    </w:p>
    <w:p>
      <w:pPr>
        <w:pStyle w:val="FirstParagraph"/>
      </w:pPr>
      <w:r>
        <w:t xml:space="preserve">A 20 epochos</w:t>
      </w:r>
      <w:r>
        <w:t xml:space="preserve"> </w:t>
      </w:r>
      <w:r>
        <w:rPr>
          <w:rStyle w:val="VerbatimChar"/>
        </w:rPr>
        <w:t xml:space="preserve">voxel0075</w:t>
      </w:r>
      <w:r>
        <w:t xml:space="preserve"> </w:t>
      </w:r>
      <w:r>
        <w:t xml:space="preserve">checkpoint marad a pontossági bemutató, mert mind a négy jelölt között magasabb 3D AP40-et és a 30 epochos voxel változatnál minden BEV AP40 szeletben is jobb értéket adott. A 30 epochos</w:t>
      </w:r>
      <w:r>
        <w:t xml:space="preserve"> </w:t>
      </w:r>
      <w:r>
        <w:rPr>
          <w:rStyle w:val="VerbatimChar"/>
        </w:rPr>
        <w:t xml:space="preserve">pillar02</w:t>
      </w:r>
      <w:r>
        <w:t xml:space="preserve"> </w:t>
      </w:r>
      <w:r>
        <w:t xml:space="preserve">lesz a kis késleltetésű tartalék, mert moderate 3D AP40-je 55,1909-ről 59,3263-ra nőtt, miközben az end-to-end p95 15,0032-ről csak 15,0919 ms-ra változott.</w:t>
      </w:r>
    </w:p>
    <w:p>
      <w:pPr>
        <w:pStyle w:val="BodyText"/>
      </w:pPr>
      <w:r>
        <w:t xml:space="preserve">A 30 epochos futások epoch 30 checkpointot választottak ki, és mindkettőnél a training, evaluation és benchmark sikeres volt. Ez a döntés nem statisztikai szignifikanciát jelent: minden run egyetlen seed/run megfigyelése, és a validation adatok ismételt használata miatt a folytatás hatása nem tekinthető általános optimalizálási törvénynek.</w:t>
      </w:r>
    </w:p>
    <w:p>
      <w:pPr>
        <w:pStyle w:val="CaptionedFigure"/>
      </w:pPr>
      <w:bookmarkStart w:id="90" w:name="fig:finalistamatrix"/>
      <w:r>
        <w:drawing>
          <wp:inline>
            <wp:extent cx="5334000" cy="2552924"/>
            <wp:effectExtent b="0" l="0" r="0" t="0"/>
            <wp:docPr descr="A finalisták 20 és 30 epochos eredménymátrixa." title="" id="1" name="Picture"/>
            <a:graphic>
              <a:graphicData uri="http://schemas.openxmlformats.org/drawingml/2006/picture">
                <pic:pic>
                  <pic:nvPicPr>
                    <pic:cNvPr descr="../presentation_assets/final/figures/finalistak_eredmenymatrix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pStyle w:val="ImageCaption"/>
      </w:pPr>
      <w:r>
        <w:t xml:space="preserve">A finalisták 20 és 30 epochos eredménymátrixa.</w:t>
      </w:r>
    </w:p>
    <w:p>
      <w:pPr>
        <w:pStyle w:val="BodyText"/>
      </w:pPr>
      <w:r>
        <w:rPr>
          <w:iCs/>
          <w:i/>
        </w:rPr>
        <w:t xml:space="preserve">5. ábra. A finalisták 20/30 epochos AP40- és p95-összevetése; a zárójeles érték a 30−20 különbség.</w:t>
      </w:r>
    </w:p>
    <w:p>
      <w:pPr>
        <w:pStyle w:val="BodyText"/>
      </w:pPr>
      <w:r>
        <w:t xml:space="preserve">Adatforrás: E3 resolved comparison és E8</w:t>
      </w:r>
      <w:r>
        <w:t xml:space="preserve"> </w:t>
      </w:r>
      <w:hyperlink r:id="rId74">
        <w:r>
          <w:rPr>
            <w:rStyle w:val="VerbatimChar"/>
          </w:rPr>
          <w:t xml:space="preserve">manifest.md</w:t>
        </w:r>
      </w:hyperlink>
      <w:r>
        <w:t xml:space="preserve">. Értelmezés: zöld a javuló, piros a romló 30 epochos szelet; a</w:t>
      </w:r>
      <w:r>
        <w:t xml:space="preserve"> </w:t>
      </w:r>
      <w:r>
        <w:rPr>
          <w:rStyle w:val="VerbatimChar"/>
        </w:rPr>
        <w:t xml:space="preserve">pillar02</w:t>
      </w:r>
      <w:r>
        <w:t xml:space="preserve"> </w:t>
      </w:r>
      <w:r>
        <w:t xml:space="preserve">pontossági nyeresége mellett csak kis runtime-növekedés látható.</w:t>
      </w:r>
    </w:p>
    <w:bookmarkEnd w:id="91"/>
    <w:bookmarkEnd w:id="92"/>
    <w:bookmarkStart w:id="101" w:name="a-külön-multiclass-pillar02-kísérlet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13. A külön multiclass Pillar02 kísérlet</w:t>
      </w:r>
    </w:p>
    <w:bookmarkStart w:id="93" w:name="cél-és-hatókör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t xml:space="preserve">13.1. Cél és hatókör</w:t>
      </w:r>
    </w:p>
    <w:p>
      <w:pPr>
        <w:pStyle w:val="FirstParagraph"/>
      </w:pPr>
      <w:r>
        <w:t xml:space="preserve">A multiclass vizsgálat kizárólag a</w:t>
      </w:r>
      <w:r>
        <w:t xml:space="preserve"> </w:t>
      </w:r>
      <w:r>
        <w:rPr>
          <w:rStyle w:val="VerbatimChar"/>
        </w:rPr>
        <w:t xml:space="preserve">Pillar02</w:t>
      </w:r>
      <w:r>
        <w:t xml:space="preserve"> </w:t>
      </w:r>
      <w:r>
        <w:t xml:space="preserve">architektúrán készült. A feladat három osztályt használ:</w:t>
      </w:r>
      <w:r>
        <w:t xml:space="preserve"> </w:t>
      </w:r>
      <w:r>
        <w:rPr>
          <w:rStyle w:val="VerbatimChar"/>
        </w:rPr>
        <w:t xml:space="preserve">Car</w:t>
      </w:r>
      <w:r>
        <w:t xml:space="preserve">,</w:t>
      </w:r>
      <w:r>
        <w:t xml:space="preserve"> </w:t>
      </w:r>
      <w:r>
        <w:rPr>
          <w:rStyle w:val="VerbatimChar"/>
        </w:rPr>
        <w:t xml:space="preserve">Pedestrian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Cyclist</w:t>
      </w:r>
      <w:r>
        <w:t xml:space="preserve">. A futás 60 epochig tartott, és a kijelölt checkpoint az epoch 55-höz kötött</w:t>
      </w:r>
      <w:r>
        <w:t xml:space="preserve"> </w:t>
      </w:r>
      <w:r>
        <w:rPr>
          <w:rStyle w:val="VerbatimChar"/>
        </w:rPr>
        <w:t xml:space="preserve">best_Kitti metric_pred_instances_3d_KITTI_Car_3D_AP40_moderate_strict_epoch_55.pth</w:t>
      </w:r>
      <w:r>
        <w:t xml:space="preserve">. Ez megvalósíthatósági kísérlet: azt ellenőrzi, hogy a projekt saját kompatibilitási és playback-szerződése képes-e több KITTI osztályt kezelni.</w:t>
      </w:r>
    </w:p>
    <w:p>
      <w:pPr>
        <w:pStyle w:val="BodyText"/>
      </w:pPr>
      <w:r>
        <w:t xml:space="preserve">Más architektúrán azért nem futott multiclass kísérlet, mert a projekt fő célja a járműdetektálás maximalizálása lett, a</w:t>
      </w:r>
      <w:r>
        <w:t xml:space="preserve"> </w:t>
      </w:r>
      <w:r>
        <w:rPr>
          <w:rStyle w:val="VerbatimChar"/>
        </w:rPr>
        <w:t xml:space="preserve">Pillar02</w:t>
      </w:r>
      <w:r>
        <w:t xml:space="preserve"> </w:t>
      </w:r>
      <w:r>
        <w:t xml:space="preserve">pedig kisebb időigénnyel tette lehetővé a gyors multiclass vizsgálatot. Az eredmény ezért nem rangsorolható közvetlenül a hat 20 epochos Car-only modellel: eltér az osztálykészlet, a loss- és sampling-környezet, a training budget, a cél és a primary metric kötése.</w:t>
      </w:r>
    </w:p>
    <w:bookmarkEnd w:id="93"/>
    <w:bookmarkStart w:id="97" w:name="osztályonkénti-ap40"/>
    <w:p>
      <w:pPr>
        <w:pStyle w:val="Heading2"/>
      </w:pPr>
      <w:r>
        <w:rPr>
          <w:rStyle w:val="SectionNumber"/>
        </w:rPr>
        <w:t xml:space="preserve">13.2</w:t>
      </w:r>
      <w:r>
        <w:tab/>
      </w:r>
      <w:r>
        <w:t xml:space="preserve">13.2. Osztályonkénti AP40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Osztály</w:t>
            </w:r>
          </w:p>
        </w:tc>
        <w:tc>
          <w:p>
            <w:pPr>
              <w:pStyle w:val="Compact"/>
              <w:jc w:val="right"/>
            </w:pPr>
            <w:r>
              <w:t xml:space="preserve">3D Easy</w:t>
            </w:r>
          </w:p>
        </w:tc>
        <w:tc>
          <w:p>
            <w:pPr>
              <w:pStyle w:val="Compact"/>
              <w:jc w:val="right"/>
            </w:pPr>
            <w:r>
              <w:t xml:space="preserve">3D Moderate</w:t>
            </w:r>
          </w:p>
        </w:tc>
        <w:tc>
          <w:p>
            <w:pPr>
              <w:pStyle w:val="Compact"/>
              <w:jc w:val="right"/>
            </w:pPr>
            <w:r>
              <w:t xml:space="preserve">3D Hard</w:t>
            </w:r>
          </w:p>
        </w:tc>
        <w:tc>
          <w:p>
            <w:pPr>
              <w:pStyle w:val="Compact"/>
              <w:jc w:val="right"/>
            </w:pPr>
            <w:r>
              <w:t xml:space="preserve">BEV Easy</w:t>
            </w:r>
          </w:p>
        </w:tc>
        <w:tc>
          <w:p>
            <w:pPr>
              <w:pStyle w:val="Compact"/>
              <w:jc w:val="right"/>
            </w:pPr>
            <w:r>
              <w:t xml:space="preserve">BEV Moderate</w:t>
            </w:r>
          </w:p>
        </w:tc>
        <w:tc>
          <w:p>
            <w:pPr>
              <w:pStyle w:val="Compact"/>
              <w:jc w:val="right"/>
            </w:pPr>
            <w:r>
              <w:t xml:space="preserve">BEV Hard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</w:t>
            </w:r>
          </w:p>
        </w:tc>
        <w:tc>
          <w:p>
            <w:pPr>
              <w:pStyle w:val="Compact"/>
              <w:jc w:val="right"/>
            </w:pPr>
            <w:r>
              <w:t xml:space="preserve">78,7537</w:t>
            </w:r>
          </w:p>
        </w:tc>
        <w:tc>
          <w:p>
            <w:pPr>
              <w:pStyle w:val="Compact"/>
              <w:jc w:val="right"/>
            </w:pPr>
            <w:r>
              <w:t xml:space="preserve">66,9236</w:t>
            </w:r>
          </w:p>
        </w:tc>
        <w:tc>
          <w:p>
            <w:pPr>
              <w:pStyle w:val="Compact"/>
              <w:jc w:val="right"/>
            </w:pPr>
            <w:r>
              <w:t xml:space="preserve">64,7167</w:t>
            </w:r>
          </w:p>
        </w:tc>
        <w:tc>
          <w:p>
            <w:pPr>
              <w:pStyle w:val="Compact"/>
              <w:jc w:val="right"/>
            </w:pPr>
            <w:r>
              <w:t xml:space="preserve">89,5208</w:t>
            </w:r>
          </w:p>
        </w:tc>
        <w:tc>
          <w:p>
            <w:pPr>
              <w:pStyle w:val="Compact"/>
              <w:jc w:val="right"/>
            </w:pPr>
            <w:r>
              <w:t xml:space="preserve">83,4507</w:t>
            </w:r>
          </w:p>
        </w:tc>
        <w:tc>
          <w:p>
            <w:pPr>
              <w:pStyle w:val="Compact"/>
              <w:jc w:val="right"/>
            </w:pPr>
            <w:r>
              <w:t xml:space="preserve">81,1611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Pedestrian</w:t>
            </w:r>
          </w:p>
        </w:tc>
        <w:tc>
          <w:p>
            <w:pPr>
              <w:pStyle w:val="Compact"/>
              <w:jc w:val="right"/>
            </w:pPr>
            <w:r>
              <w:t xml:space="preserve">45,3269</w:t>
            </w:r>
          </w:p>
        </w:tc>
        <w:tc>
          <w:p>
            <w:pPr>
              <w:pStyle w:val="Compact"/>
              <w:jc w:val="right"/>
            </w:pPr>
            <w:r>
              <w:t xml:space="preserve">39,6095</w:t>
            </w:r>
          </w:p>
        </w:tc>
        <w:tc>
          <w:p>
            <w:pPr>
              <w:pStyle w:val="Compact"/>
              <w:jc w:val="right"/>
            </w:pPr>
            <w:r>
              <w:t xml:space="preserve">35,4650</w:t>
            </w:r>
          </w:p>
        </w:tc>
        <w:tc>
          <w:p>
            <w:pPr>
              <w:pStyle w:val="Compact"/>
              <w:jc w:val="right"/>
            </w:pPr>
            <w:r>
              <w:t xml:space="preserve">53,3734</w:t>
            </w:r>
          </w:p>
        </w:tc>
        <w:tc>
          <w:p>
            <w:pPr>
              <w:pStyle w:val="Compact"/>
              <w:jc w:val="right"/>
            </w:pPr>
            <w:r>
              <w:t xml:space="preserve">47,6779</w:t>
            </w:r>
          </w:p>
        </w:tc>
        <w:tc>
          <w:p>
            <w:pPr>
              <w:pStyle w:val="Compact"/>
              <w:jc w:val="right"/>
            </w:pPr>
            <w:r>
              <w:t xml:space="preserve">43,8853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Cyclist</w:t>
            </w:r>
          </w:p>
        </w:tc>
        <w:tc>
          <w:p>
            <w:pPr>
              <w:pStyle w:val="Compact"/>
              <w:jc w:val="right"/>
            </w:pPr>
            <w:r>
              <w:t xml:space="preserve">73,5981</w:t>
            </w:r>
          </w:p>
        </w:tc>
        <w:tc>
          <w:p>
            <w:pPr>
              <w:pStyle w:val="Compact"/>
              <w:jc w:val="right"/>
            </w:pPr>
            <w:r>
              <w:t xml:space="preserve">53,5531</w:t>
            </w:r>
          </w:p>
        </w:tc>
        <w:tc>
          <w:p>
            <w:pPr>
              <w:pStyle w:val="Compact"/>
              <w:jc w:val="right"/>
            </w:pPr>
            <w:r>
              <w:t xml:space="preserve">49,5250</w:t>
            </w:r>
          </w:p>
        </w:tc>
        <w:tc>
          <w:p>
            <w:pPr>
              <w:pStyle w:val="Compact"/>
              <w:jc w:val="right"/>
            </w:pPr>
            <w:r>
              <w:t xml:space="preserve">80,1097</w:t>
            </w:r>
          </w:p>
        </w:tc>
        <w:tc>
          <w:p>
            <w:pPr>
              <w:pStyle w:val="Compact"/>
              <w:jc w:val="right"/>
            </w:pPr>
            <w:r>
              <w:t xml:space="preserve">61,1100</w:t>
            </w:r>
          </w:p>
        </w:tc>
        <w:tc>
          <w:p>
            <w:pPr>
              <w:pStyle w:val="Compact"/>
              <w:jc w:val="right"/>
            </w:pPr>
            <w:r>
              <w:t xml:space="preserve">56,7741</w:t>
            </w:r>
          </w:p>
        </w:tc>
      </w:tr>
    </w:tbl>
    <w:p>
      <w:pPr>
        <w:pStyle w:val="BodyText"/>
      </w:pPr>
      <w:r>
        <w:t xml:space="preserve">Adatforrás: E4 immutable</w:t>
      </w:r>
      <w:r>
        <w:t xml:space="preserve"> </w:t>
      </w:r>
      <w:hyperlink r:id="rId94">
        <w:r>
          <w:rPr>
            <w:rStyle w:val="VerbatimChar"/>
          </w:rPr>
          <w:t xml:space="preserve">result.json</w:t>
        </w:r>
      </w:hyperlink>
      <w:r>
        <w:t xml:space="preserve">, a</w:t>
      </w:r>
      <w:r>
        <w:t xml:space="preserve"> </w:t>
      </w:r>
      <w:r>
        <w:rPr>
          <w:rStyle w:val="VerbatimChar"/>
        </w:rPr>
        <w:t xml:space="preserve">Kitti metric/pred_instances_3d/KITTI/</w:t>
      </w:r>
      <w:r>
        <w:t xml:space="preserve"> </w:t>
      </w:r>
      <w:r>
        <w:t xml:space="preserve">kulcsokból. Értelmezés: a Car a legerősebb osztály; a Pedestrian minden 3D és BEV nehézségi szinten alacsonyabb; a Cyclist könnyű szinten még erős, közepes és nehéz szinten nagyobb visszaesést mutat.</w:t>
      </w:r>
    </w:p>
    <w:p>
      <w:pPr>
        <w:pStyle w:val="CaptionedFigure"/>
      </w:pPr>
      <w:bookmarkStart w:id="96" w:name="fig:multiclass"/>
      <w:r>
        <w:drawing>
          <wp:inline>
            <wp:extent cx="5334000" cy="3083858"/>
            <wp:effectExtent b="0" l="0" r="0" t="0"/>
            <wp:docPr descr="A multiclass Pillar02 osztály- és nehézségi mátrixa." title="" id="1" name="Picture"/>
            <a:graphic>
              <a:graphicData uri="http://schemas.openxmlformats.org/drawingml/2006/picture">
                <pic:pic>
                  <pic:nvPicPr>
                    <pic:cNvPr descr="../presentation_assets/final/figures/pillar02_tobbosztalyos_ap40_matrix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3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</w:p>
    <w:p>
      <w:pPr>
        <w:pStyle w:val="ImageCaption"/>
      </w:pPr>
      <w:r>
        <w:t xml:space="preserve">A multiclass Pillar02 osztály- és nehézségi mátrixa.</w:t>
      </w:r>
    </w:p>
    <w:p>
      <w:pPr>
        <w:pStyle w:val="BodyText"/>
      </w:pPr>
      <w:r>
        <w:rPr>
          <w:iCs/>
          <w:i/>
        </w:rPr>
        <w:t xml:space="preserve">6. ábra. A Pillar02 multiclass epoch 55 checkpointjának strict 3D és BEV AP40 értékei.</w:t>
      </w:r>
    </w:p>
    <w:p>
      <w:pPr>
        <w:pStyle w:val="BodyText"/>
      </w:pPr>
      <w:r>
        <w:t xml:space="preserve">Adatforrás: E4 evaluation</w:t>
      </w:r>
      <w:r>
        <w:t xml:space="preserve"> </w:t>
      </w:r>
      <w:r>
        <w:rPr>
          <w:rStyle w:val="VerbatimChar"/>
        </w:rPr>
        <w:t xml:space="preserve">result.json</w:t>
      </w:r>
      <w:r>
        <w:t xml:space="preserve">, a renderelt SVG/PNG és az E8</w:t>
      </w:r>
      <w:r>
        <w:t xml:space="preserve"> </w:t>
      </w:r>
      <w:hyperlink r:id="rId74">
        <w:r>
          <w:rPr>
            <w:rStyle w:val="VerbatimChar"/>
          </w:rPr>
          <w:t xml:space="preserve">manifest.md</w:t>
        </w:r>
      </w:hyperlink>
      <w:r>
        <w:t xml:space="preserve">. Értelmezés: az ábra csak az immutable evaluationben meglévő aggregált AP40 értékeket jeleníti meg; nem tartalmaz visszaszámolt confusion matrixot vagy PR-görbét.</w:t>
      </w:r>
    </w:p>
    <w:bookmarkEnd w:id="97"/>
    <w:bookmarkStart w:id="100" w:name="futás--és-benchmark-kötés"/>
    <w:p>
      <w:pPr>
        <w:pStyle w:val="Heading2"/>
      </w:pPr>
      <w:r>
        <w:rPr>
          <w:rStyle w:val="SectionNumber"/>
        </w:rPr>
        <w:t xml:space="preserve">13.3</w:t>
      </w:r>
      <w:r>
        <w:tab/>
      </w:r>
      <w:r>
        <w:t xml:space="preserve">13.3. Futás- és benchmark-kötés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Elem</w:t>
            </w:r>
          </w:p>
        </w:tc>
        <w:tc>
          <w:p>
            <w:pPr>
              <w:pStyle w:val="Compact"/>
              <w:jc w:val="left"/>
            </w:pPr>
            <w:r>
              <w:t xml:space="preserve">Érték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 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20260902T125737Z-pillar02-multiclass-faa487143efbe3dba808d9ac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SHA-256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b31131058eb44367a6d7daa7a3ee0620d41cf3324fdfd701f1f41d402a50231d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Selected checkpoint SHA-256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cf62f3c99ce8ebdbb96eaa467cc44c3bde0a152aa25470ce1cfd11b8ac7c7427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Checkpointméret</w:t>
            </w:r>
          </w:p>
        </w:tc>
        <w:tc>
          <w:p>
            <w:pPr>
              <w:pStyle w:val="Compact"/>
              <w:jc w:val="left"/>
            </w:pPr>
            <w:r>
              <w:t xml:space="preserve">32 452 134 byte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Evaluation result 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20260902T195616343969Z-evaluation-513fc499ed4e49415ee237c2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Benchmark result 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20260902T195651982215Z-benchmark-0001486e79f9c7dd48f28e10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End-to-end p50 / p95</w:t>
            </w:r>
          </w:p>
        </w:tc>
        <w:tc>
          <w:p>
            <w:pPr>
              <w:pStyle w:val="Compact"/>
              <w:jc w:val="left"/>
            </w:pPr>
            <w:r>
              <w:t xml:space="preserve">14,1904 / 14,7736 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Peak allocated / reserved</w:t>
            </w:r>
          </w:p>
        </w:tc>
        <w:tc>
          <w:p>
            <w:pPr>
              <w:pStyle w:val="Compact"/>
              <w:jc w:val="left"/>
            </w:pPr>
            <w:r>
              <w:t xml:space="preserve">147,0078 / 428,0000 MiB</w:t>
            </w:r>
          </w:p>
        </w:tc>
      </w:tr>
    </w:tbl>
    <w:p>
      <w:pPr>
        <w:pStyle w:val="BodyText"/>
      </w:pPr>
      <w:r>
        <w:t xml:space="preserve">Adatforrás: E5 immutable benchmark</w:t>
      </w:r>
      <w:r>
        <w:t xml:space="preserve"> </w:t>
      </w:r>
      <w:hyperlink r:id="rId98">
        <w:r>
          <w:rPr>
            <w:rStyle w:val="VerbatimChar"/>
          </w:rPr>
          <w:t xml:space="preserve">result.json</w:t>
        </w:r>
      </w:hyperlink>
      <w:r>
        <w:t xml:space="preserve"> </w:t>
      </w:r>
      <w:r>
        <w:t xml:space="preserve">és E6</w:t>
      </w:r>
      <w:r>
        <w:t xml:space="preserve"> </w:t>
      </w:r>
      <w:hyperlink r:id="rId99">
        <w:r>
          <w:rPr>
            <w:rStyle w:val="VerbatimChar"/>
          </w:rPr>
          <w:t xml:space="preserve">manifest.json</w:t>
        </w:r>
      </w:hyperlink>
      <w:r>
        <w:t xml:space="preserve">. Értelmezés: a multiclass megvalósíthatósági futás saját artifactlánca teljes; a 14,7736 ms end-to-end p95 a 20 Hz cél alatt van ezen a hardveren, de nem teszi a kísérletet Car-only rangsorjelöltté.</w:t>
      </w:r>
    </w:p>
    <w:bookmarkEnd w:id="100"/>
    <w:bookmarkEnd w:id="101"/>
    <w:bookmarkStart w:id="107" w:name="Xff101696a633abcd69cae8496da0c6809a40e27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14. Official PointPillars és Official SECOND baseline-ok</w:t>
      </w:r>
    </w:p>
    <w:bookmarkStart w:id="103" w:name="a-baseline-szerepe"/>
    <w:p>
      <w:pPr>
        <w:pStyle w:val="Heading2"/>
      </w:pPr>
      <w:r>
        <w:rPr>
          <w:rStyle w:val="SectionNumber"/>
        </w:rPr>
        <w:t xml:space="preserve">14.1</w:t>
      </w:r>
      <w:r>
        <w:tab/>
      </w:r>
      <w:r>
        <w:t xml:space="preserve">14.1. A baseline szerepe</w:t>
      </w:r>
    </w:p>
    <w:p>
      <w:pPr>
        <w:pStyle w:val="FirstParagraph"/>
      </w:pPr>
      <w:r>
        <w:t xml:space="preserve">A baseline fejezet két hivatalos MMDetection3D pretrained modellt tartalmaz: Official PointPillars és Official SECOND. Mindkettőnek hiteles config-, checkpoint-, evaluation- és benchmark-kötése van. A cél egy külső, azonos KITTI validation adaton mért referenciapont létrehozása; nem az, hogy a hosszabb hivatalos recipe-t egy 20/30 epochos saját kísérlettel azonos budgetként rangsoroljuk.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p>
            <w:pPr>
              <w:pStyle w:val="Compact"/>
              <w:jc w:val="left"/>
            </w:pPr>
            <w:r>
              <w:t xml:space="preserve">Modell</w:t>
            </w:r>
          </w:p>
        </w:tc>
        <w:tc>
          <w:p>
            <w:pPr>
              <w:pStyle w:val="Compact"/>
              <w:jc w:val="left"/>
            </w:pPr>
            <w:r>
              <w:t xml:space="preserve">Effective training budget</w:t>
            </w:r>
          </w:p>
        </w:tc>
        <w:tc>
          <w:p>
            <w:pPr>
              <w:pStyle w:val="Compact"/>
              <w:jc w:val="left"/>
            </w:pPr>
            <w:r>
              <w:t xml:space="preserve">3D AP40 E / M / H</w:t>
            </w:r>
          </w:p>
        </w:tc>
        <w:tc>
          <w:p>
            <w:pPr>
              <w:pStyle w:val="Compact"/>
              <w:jc w:val="left"/>
            </w:pPr>
            <w:r>
              <w:t xml:space="preserve">BEV AP40 E / M / H</w:t>
            </w:r>
          </w:p>
        </w:tc>
        <w:tc>
          <w:p>
            <w:pPr>
              <w:pStyle w:val="Compact"/>
              <w:jc w:val="left"/>
            </w:pPr>
            <w:r>
              <w:t xml:space="preserve">Prediction p50 / p95 (ms)</w:t>
            </w:r>
          </w:p>
        </w:tc>
        <w:tc>
          <w:p>
            <w:pPr>
              <w:pStyle w:val="Compact"/>
              <w:jc w:val="left"/>
            </w:pPr>
            <w:r>
              <w:t xml:space="preserve">End-to-end p50 / p95 (ms)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Official SECOND</w:t>
            </w:r>
          </w:p>
        </w:tc>
        <w:tc>
          <w:p>
            <w:pPr>
              <w:pStyle w:val="Compact"/>
              <w:jc w:val="left"/>
            </w:pPr>
            <w:r>
              <w:t xml:space="preserve">80 epoch</w:t>
            </w:r>
          </w:p>
        </w:tc>
        <w:tc>
          <w:p>
            <w:pPr>
              <w:pStyle w:val="Compact"/>
              <w:jc w:val="left"/>
            </w:pPr>
            <w:r>
              <w:t xml:space="preserve">90,4463 / 81,3268 / 76,1806</w:t>
            </w:r>
          </w:p>
        </w:tc>
        <w:tc>
          <w:p>
            <w:pPr>
              <w:pStyle w:val="Compact"/>
              <w:jc w:val="left"/>
            </w:pPr>
            <w:r>
              <w:t xml:space="preserve">92,6352 / 88,4181 / 85,2526</w:t>
            </w:r>
          </w:p>
        </w:tc>
        <w:tc>
          <w:p>
            <w:pPr>
              <w:pStyle w:val="Compact"/>
              <w:jc w:val="left"/>
            </w:pPr>
            <w:r>
              <w:t xml:space="preserve">25,7261 / 26,4117</w:t>
            </w:r>
          </w:p>
        </w:tc>
        <w:tc>
          <w:p>
            <w:pPr>
              <w:pStyle w:val="Compact"/>
              <w:jc w:val="left"/>
            </w:pPr>
            <w:r>
              <w:t xml:space="preserve">28,4831 / 29,5152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Official PointPillars</w:t>
            </w:r>
          </w:p>
        </w:tc>
        <w:tc>
          <w:p>
            <w:pPr>
              <w:pStyle w:val="Compact"/>
              <w:jc w:val="left"/>
            </w:pPr>
            <w:r>
              <w:t xml:space="preserve">160 epoch</w:t>
            </w:r>
          </w:p>
        </w:tc>
        <w:tc>
          <w:p>
            <w:pPr>
              <w:pStyle w:val="Compact"/>
              <w:jc w:val="left"/>
            </w:pPr>
            <w:r>
              <w:t xml:space="preserve">90,3449 / 79,1299 / 76,1566</w:t>
            </w:r>
          </w:p>
        </w:tc>
        <w:tc>
          <w:p>
            <w:pPr>
              <w:pStyle w:val="Compact"/>
              <w:jc w:val="left"/>
            </w:pPr>
            <w:r>
              <w:t xml:space="preserve">92,7663 / 88,3680 / 85,5054</w:t>
            </w:r>
          </w:p>
        </w:tc>
        <w:tc>
          <w:p>
            <w:pPr>
              <w:pStyle w:val="Compact"/>
              <w:jc w:val="left"/>
            </w:pPr>
            <w:r>
              <w:t xml:space="preserve">16,7533 / 17,3719</w:t>
            </w:r>
          </w:p>
        </w:tc>
        <w:tc>
          <w:p>
            <w:pPr>
              <w:pStyle w:val="Compact"/>
              <w:jc w:val="left"/>
            </w:pPr>
            <w:r>
              <w:t xml:space="preserve">19,4831 / 20,2515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Saját</w:t>
            </w:r>
            <w:r>
              <w:t xml:space="preserve"> </w:t>
            </w:r>
            <w:r>
              <w:rPr>
                <w:rStyle w:val="VerbatimChar"/>
              </w:rPr>
              <w:t xml:space="preserve">voxel0075</w:t>
            </w:r>
          </w:p>
        </w:tc>
        <w:tc>
          <w:p>
            <w:pPr>
              <w:pStyle w:val="Compact"/>
              <w:jc w:val="left"/>
            </w:pPr>
            <w:r>
              <w:t xml:space="preserve">20 epoch</w:t>
            </w:r>
          </w:p>
        </w:tc>
        <w:tc>
          <w:p>
            <w:pPr>
              <w:pStyle w:val="Compact"/>
              <w:jc w:val="left"/>
            </w:pPr>
            <w:r>
              <w:t xml:space="preserve">78,4480 / 66,1696 / 62,1959</w:t>
            </w:r>
          </w:p>
        </w:tc>
        <w:tc>
          <w:p>
            <w:pPr>
              <w:pStyle w:val="Compact"/>
              <w:jc w:val="left"/>
            </w:pPr>
            <w:r>
              <w:t xml:space="preserve">88,0176 / 82,0890 / 77,8536</w:t>
            </w:r>
          </w:p>
        </w:tc>
        <w:tc>
          <w:p>
            <w:pPr>
              <w:pStyle w:val="Compact"/>
              <w:jc w:val="left"/>
            </w:pPr>
            <w:r>
              <w:t xml:space="preserve">31,2469 / 33,6592</w:t>
            </w:r>
          </w:p>
        </w:tc>
        <w:tc>
          <w:p>
            <w:pPr>
              <w:pStyle w:val="Compact"/>
              <w:jc w:val="left"/>
            </w:pPr>
            <w:r>
              <w:t xml:space="preserve">32,8995 / 35,3310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Saját</w:t>
            </w:r>
            <w:r>
              <w:t xml:space="preserve"> </w:t>
            </w:r>
            <w:r>
              <w:rPr>
                <w:rStyle w:val="VerbatimChar"/>
              </w:rPr>
              <w:t xml:space="preserve">pillar02</w:t>
            </w:r>
          </w:p>
        </w:tc>
        <w:tc>
          <w:p>
            <w:pPr>
              <w:pStyle w:val="Compact"/>
              <w:jc w:val="left"/>
            </w:pPr>
            <w:r>
              <w:t xml:space="preserve">30 epoch</w:t>
            </w:r>
          </w:p>
        </w:tc>
        <w:tc>
          <w:p>
            <w:pPr>
              <w:pStyle w:val="Compact"/>
              <w:jc w:val="left"/>
            </w:pPr>
            <w:r>
              <w:t xml:space="preserve">73,2703 / 59,3263 / 53,6976</w:t>
            </w:r>
          </w:p>
        </w:tc>
        <w:tc>
          <w:p>
            <w:pPr>
              <w:pStyle w:val="Compact"/>
              <w:jc w:val="left"/>
            </w:pPr>
            <w:r>
              <w:t xml:space="preserve">87,7711 / 77,0989 / 74,4106</w:t>
            </w:r>
          </w:p>
        </w:tc>
        <w:tc>
          <w:p>
            <w:pPr>
              <w:pStyle w:val="Compact"/>
              <w:jc w:val="left"/>
            </w:pPr>
            <w:r>
              <w:t xml:space="preserve">12,6915 / 13,2319</w:t>
            </w:r>
          </w:p>
        </w:tc>
        <w:tc>
          <w:p>
            <w:pPr>
              <w:pStyle w:val="Compact"/>
              <w:jc w:val="left"/>
            </w:pPr>
            <w:r>
              <w:t xml:space="preserve">14,4154 / 15,0919</w:t>
            </w:r>
          </w:p>
        </w:tc>
      </w:tr>
    </w:tbl>
    <w:p>
      <w:pPr>
        <w:pStyle w:val="BodyText"/>
      </w:pPr>
      <w:r>
        <w:t xml:space="preserve">Adatforrás: E7</w:t>
      </w:r>
      <w:r>
        <w:t xml:space="preserve"> </w:t>
      </w:r>
      <w:hyperlink r:id="rId102">
        <w:r>
          <w:rPr>
            <w:rStyle w:val="VerbatimChar"/>
          </w:rPr>
          <w:t xml:space="preserve">comparison.json</w:t>
        </w:r>
      </w:hyperlink>
      <w:r>
        <w:t xml:space="preserve">, kizárólag a resolved</w:t>
      </w:r>
      <w:r>
        <w:t xml:space="preserve"> </w:t>
      </w:r>
      <w:r>
        <w:rPr>
          <w:rStyle w:val="VerbatimChar"/>
        </w:rPr>
        <w:t xml:space="preserve">rows</w:t>
      </w:r>
      <w:r>
        <w:t xml:space="preserve"> </w:t>
      </w:r>
      <w:r>
        <w:t xml:space="preserve">mezőből; a riport saját README-je a training budget értelmezését is rögzíti. Értelmezés: a hivatalos modellek magasabb AP40-et adnak, a saját</w:t>
      </w:r>
      <w:r>
        <w:t xml:space="preserve"> </w:t>
      </w:r>
      <w:r>
        <w:rPr>
          <w:rStyle w:val="VerbatimChar"/>
        </w:rPr>
        <w:t xml:space="preserve">pillar02</w:t>
      </w:r>
      <w:r>
        <w:t xml:space="preserve"> </w:t>
      </w:r>
      <w:r>
        <w:t xml:space="preserve">a leggyorsabb; az összevetés eltérő training budget miatt nem azonos feltételek melletti rangsor.</w:t>
      </w:r>
    </w:p>
    <w:bookmarkEnd w:id="103"/>
    <w:bookmarkStart w:id="105" w:name="külső-artifactok-és-configok"/>
    <w:p>
      <w:pPr>
        <w:pStyle w:val="Heading2"/>
      </w:pPr>
      <w:r>
        <w:rPr>
          <w:rStyle w:val="SectionNumber"/>
        </w:rPr>
        <w:t xml:space="preserve">14.2</w:t>
      </w:r>
      <w:r>
        <w:tab/>
      </w:r>
      <w:r>
        <w:t xml:space="preserve">14.2. Külső artifactok és configok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Modell</w:t>
            </w:r>
          </w:p>
        </w:tc>
        <w:tc>
          <w:p>
            <w:pPr>
              <w:pStyle w:val="Compact"/>
              <w:jc w:val="left"/>
            </w:pPr>
            <w:r>
              <w:t xml:space="preserve">Hivatalos forrásconfig és SHA-256</w:t>
            </w:r>
          </w:p>
        </w:tc>
        <w:tc>
          <w:p>
            <w:pPr>
              <w:pStyle w:val="Compact"/>
              <w:jc w:val="left"/>
            </w:pPr>
            <w:r>
              <w:t xml:space="preserve">Run ID</w:t>
            </w:r>
          </w:p>
        </w:tc>
        <w:tc>
          <w:p>
            <w:pPr>
              <w:pStyle w:val="Compact"/>
              <w:jc w:val="left"/>
            </w:pPr>
            <w:r>
              <w:t xml:space="preserve">Checkpoint SHA-256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Official PointPillars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pointpillars/pointpillars_hv_secfpn_8xb6-160e_kitti-3d-car.py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75145966859d3f9f4bc3fcd364ee12e6b3edc221cf1cdea7c70e4274443891dc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20260902T101048Z-official-pointpillars-kitti-d42d15edce05b552fdd14e64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d42d15edce05b552fdd14e6412fc1d3e02207ee4799e6e3869f61bd30e730f3e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Official SECOND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second/second_hv_secfpn_8xb6-80e_kitti-3d-car.py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a1ca56ed4015a19c79a38ab81e74062cf26737a17611a6521013ad672e8a3c1e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20260902T101049Z-official-second-kitti-75d9305e3403e890a32d553c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75d9305e3403e890a32d553cc414570f8321086a13edf78f295e628de8fdc851</w:t>
            </w:r>
          </w:p>
        </w:tc>
      </w:tr>
    </w:tbl>
    <w:p>
      <w:pPr>
        <w:pStyle w:val="BodyText"/>
      </w:pPr>
      <w:r>
        <w:t xml:space="preserve">Adatforrás: E9</w:t>
      </w:r>
      <w:r>
        <w:t xml:space="preserve"> </w:t>
      </w:r>
      <w:hyperlink r:id="rId104">
        <w:r>
          <w:rPr>
            <w:rStyle w:val="VerbatimChar"/>
          </w:rPr>
          <w:t xml:space="preserve">pretrained_baseline_audit.md</w:t>
        </w:r>
      </w:hyperlink>
      <w:r>
        <w:t xml:space="preserve"> </w:t>
      </w:r>
      <w:r>
        <w:t xml:space="preserve">és E7 comparison. Értelmezés: a forrásconfig hash-e és a canonical run-local config hash-e külön mező, mert a local config a KITTI útvonalakhoz és a kompatibilis evaluationhez materializált változat.</w:t>
      </w:r>
    </w:p>
    <w:bookmarkEnd w:id="105"/>
    <w:bookmarkStart w:id="106" w:name="értelmezési-korlát"/>
    <w:p>
      <w:pPr>
        <w:pStyle w:val="Heading2"/>
      </w:pPr>
      <w:r>
        <w:rPr>
          <w:rStyle w:val="SectionNumber"/>
        </w:rPr>
        <w:t xml:space="preserve">14.3</w:t>
      </w:r>
      <w:r>
        <w:tab/>
      </w:r>
      <w:r>
        <w:t xml:space="preserve">14.3. Értelmezési korlát</w:t>
      </w:r>
    </w:p>
    <w:p>
      <w:pPr>
        <w:pStyle w:val="FirstParagraph"/>
      </w:pPr>
      <w:r>
        <w:t xml:space="preserve">A PointPillars 160 effective epochot, a SECOND 80 effective epochot reprezentál, miközben a saját finalisták 20 és 30 epochos kísérletek. A baseline-ok érettebb recipe-t, eltérő batch- és sampling-beállítást, valamint hosszabb optimalizálást használnak. A magasabb AP ezért elsősorban elérhető referenciapont és fejlesztési cél, nem bizonyíték arra, hogy az architektúra önmagában ennyivel jobb.</w:t>
      </w:r>
    </w:p>
    <w:p>
      <w:pPr>
        <w:pStyle w:val="BodyText"/>
      </w:pPr>
      <w:r>
        <w:t xml:space="preserve">Az Official PointPillars és Official SECOND még nincsenek integrálva a közös Foxglove registrybe. A közös playback fix CenterPoint pontfelhő-tartományt feltételez, miközben a baseline-ok eltérő ponttartományt használnak; ezt modell-specifikusan kell feloldani. Baseline Foxglove-videó még nem készült. Emiatt a prezentáció kiválasztása nem változik: a ROS2/Foxglove és tracking acceptance csak a saját finalistákra vonatkozik.</w:t>
      </w:r>
    </w:p>
    <w:bookmarkEnd w:id="106"/>
    <w:bookmarkEnd w:id="107"/>
    <w:bookmarkStart w:id="115" w:name="ros2--foxglove--és-tracking-integráció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15. ROS2-, Foxglove- és tracking-integráció</w:t>
      </w:r>
    </w:p>
    <w:bookmarkStart w:id="108" w:name="detektor-és-üzenetút"/>
    <w:p>
      <w:pPr>
        <w:pStyle w:val="Heading2"/>
      </w:pPr>
      <w:r>
        <w:rPr>
          <w:rStyle w:val="SectionNumber"/>
        </w:rPr>
        <w:t xml:space="preserve">15.1</w:t>
      </w:r>
      <w:r>
        <w:tab/>
      </w:r>
      <w:r>
        <w:t xml:space="preserve">15.1. Detektor és üzenetút</w:t>
      </w:r>
    </w:p>
    <w:p>
      <w:pPr>
        <w:pStyle w:val="FirstParagraph"/>
      </w:pPr>
      <w:r>
        <w:t xml:space="preserve">A bemeneti node a Lexus rosbag/MCAP pontfelhőjét fogadja, TF lookup után a pontokat a modell tartományára szűri, majd a kiválasztott run-bound detektort futtatja. A detektor kimenete</w:t>
      </w:r>
      <w:r>
        <w:t xml:space="preserve"> </w:t>
      </w:r>
      <w:r>
        <w:rPr>
          <w:rStyle w:val="VerbatimChar"/>
        </w:rPr>
        <w:t xml:space="preserve">DetectionFrame</w:t>
      </w:r>
      <w:r>
        <w:t xml:space="preserve">: session- és frame-index, acquisition timestamp, koordinátakeret, run/config/checkpoint identity, pontszámok, label-ek, 7D dobozok és feldolgozási státusz.</w:t>
      </w:r>
    </w:p>
    <w:p>
      <w:pPr>
        <w:pStyle w:val="BodyText"/>
      </w:pPr>
      <w:r>
        <w:t xml:space="preserve">A ROS2 node standard Humble üzeneteket publikál. A nyers kimenet</w:t>
      </w:r>
      <w:r>
        <w:t xml:space="preserve"> </w:t>
      </w:r>
      <w:r>
        <w:rPr>
          <w:rStyle w:val="VerbatimChar"/>
        </w:rPr>
        <w:t xml:space="preserve">vision_msgs/msg/Detection3DArray</w:t>
      </w:r>
      <w:r>
        <w:t xml:space="preserve">, a vizualizáció</w:t>
      </w:r>
      <w:r>
        <w:t xml:space="preserve"> </w:t>
      </w:r>
      <w:r>
        <w:rPr>
          <w:rStyle w:val="VerbatimChar"/>
        </w:rPr>
        <w:t xml:space="preserve">visualization_msgs/msg/MarkerArray</w:t>
      </w:r>
      <w:r>
        <w:t xml:space="preserve">, a diagnosztika</w:t>
      </w:r>
      <w:r>
        <w:t xml:space="preserve"> </w:t>
      </w:r>
      <w:r>
        <w:rPr>
          <w:rStyle w:val="VerbatimChar"/>
        </w:rPr>
        <w:t xml:space="preserve">diagnostic_msgs/msg/DiagnosticArray</w:t>
      </w:r>
      <w:r>
        <w:t xml:space="preserve">, a modell pontfelhője</w:t>
      </w:r>
      <w:r>
        <w:t xml:space="preserve"> </w:t>
      </w:r>
      <w:r>
        <w:rPr>
          <w:rStyle w:val="VerbatimChar"/>
        </w:rPr>
        <w:t xml:space="preserve">sensor_msgs/msg/PointCloud2</w:t>
      </w:r>
      <w:r>
        <w:t xml:space="preserve">. Az output prefix minden topicot egy modell-alias alatt tart.</w:t>
      </w:r>
    </w:p>
    <w:bookmarkEnd w:id="108"/>
    <w:bookmarkStart w:id="110" w:name="foxglove-panelkiosztás"/>
    <w:p>
      <w:pPr>
        <w:pStyle w:val="Heading2"/>
      </w:pPr>
      <w:r>
        <w:rPr>
          <w:rStyle w:val="SectionNumber"/>
        </w:rPr>
        <w:t xml:space="preserve">15.2</w:t>
      </w:r>
      <w:r>
        <w:tab/>
      </w:r>
      <w:r>
        <w:t xml:space="preserve">15.2. Foxglove panelkiosztás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Panel</w:t>
            </w:r>
          </w:p>
        </w:tc>
        <w:tc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p>
            <w:pPr>
              <w:pStyle w:val="Compact"/>
              <w:jc w:val="left"/>
            </w:pPr>
            <w:r>
              <w:t xml:space="preserve">Tartalom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pontfelhő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/centerpoint/voxel0075/model_points</w:t>
            </w:r>
          </w:p>
        </w:tc>
        <w:tc>
          <w:p>
            <w:pPr>
              <w:pStyle w:val="Compact"/>
              <w:jc w:val="left"/>
            </w:pPr>
            <w:r>
              <w:t xml:space="preserve">A modell tartományán belüli pontok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Nyers dobozok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/centerpoint/voxel0075/markers</w:t>
            </w:r>
          </w:p>
        </w:tc>
        <w:tc>
          <w:p>
            <w:pPr>
              <w:pStyle w:val="Compact"/>
              <w:jc w:val="left"/>
            </w:pPr>
            <w:r>
              <w:t xml:space="preserve">Frame-local detekciók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Követett dobozok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/centerpoint/voxel0075/tracked_markers</w:t>
            </w:r>
          </w:p>
        </w:tc>
        <w:tc>
          <w:p>
            <w:pPr>
              <w:pStyle w:val="Compact"/>
              <w:jc w:val="left"/>
            </w:pPr>
            <w:r>
              <w:t xml:space="preserve">Stabil ID, sebesség, trail, coasting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Kamera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/lexus3/camera/zed/zed_node/left/color/rect/image/compressed</w:t>
            </w:r>
          </w:p>
        </w:tc>
        <w:tc>
          <w:p>
            <w:pPr>
              <w:pStyle w:val="Compact"/>
              <w:jc w:val="left"/>
            </w:pPr>
            <w:r>
              <w:t xml:space="preserve">A működő bal kamera képe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Detektor diagnosztika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/centerpoint/voxel0075/diagnostics</w:t>
            </w:r>
          </w:p>
        </w:tc>
        <w:tc>
          <w:p>
            <w:pPr>
              <w:pStyle w:val="Compact"/>
              <w:jc w:val="left"/>
            </w:pPr>
            <w:r>
              <w:t xml:space="preserve">Input, queue, TF és inference állapot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Tracking diagnosztika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/centerpoint/voxel0075/tracking_diagnostics</w:t>
            </w:r>
          </w:p>
        </w:tc>
        <w:tc>
          <w:p>
            <w:pPr>
              <w:pStyle w:val="Compact"/>
              <w:jc w:val="left"/>
            </w:pPr>
            <w:r>
              <w:t xml:space="preserve">Track lifecycle és association állapot</w:t>
            </w:r>
          </w:p>
        </w:tc>
      </w:tr>
    </w:tbl>
    <w:p>
      <w:pPr>
        <w:pStyle w:val="BodyText"/>
      </w:pPr>
      <w:r>
        <w:t xml:space="preserve">Adatforrás: E11</w:t>
      </w:r>
      <w:r>
        <w:t xml:space="preserve"> </w:t>
      </w:r>
      <w:hyperlink r:id="rId109">
        <w:r>
          <w:rPr>
            <w:rStyle w:val="VerbatimChar"/>
          </w:rPr>
          <w:t xml:space="preserve">tracked_foxglove_demo.md</w:t>
        </w:r>
      </w:hyperlink>
      <w:r>
        <w:t xml:space="preserve">, a repository node- és message-builder implementációja. Értelmezés: a nyers és tracked panelek elkülönítése láthatóvá teszi, hogy a temporal stabilizálás a detector után történik.</w:t>
      </w:r>
    </w:p>
    <w:bookmarkEnd w:id="110"/>
    <w:bookmarkStart w:id="111" w:name="qos-és-feldolgozási-policy"/>
    <w:p>
      <w:pPr>
        <w:pStyle w:val="Heading2"/>
      </w:pPr>
      <w:r>
        <w:rPr>
          <w:rStyle w:val="SectionNumber"/>
        </w:rPr>
        <w:t xml:space="preserve">15.3</w:t>
      </w:r>
      <w:r>
        <w:tab/>
      </w:r>
      <w:r>
        <w:t xml:space="preserve">15.3. QoS és feldolgozási policy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/tf_static</w:t>
      </w:r>
      <w:r>
        <w:t xml:space="preserve"> </w:t>
      </w:r>
      <w:r>
        <w:t xml:space="preserve">megbízható, transient local, keep-last, 100 mélységű QoS-t kap, hogy a később induló playback node is megkaphassa a statikus transzformációt. A pontfelhő subscription policy-matched QoS-t használ. A kimeneti tracked detections reliable, volatile, keep-last 1; a tracked markerek reliable, transient local, keep-last 1; a tracking diagnostics reliable, volatile, keep-last 10.</w:t>
      </w:r>
    </w:p>
    <w:p>
      <w:pPr>
        <w:pStyle w:val="BodyText"/>
      </w:pPr>
      <w:r>
        <w:t xml:space="preserve">Két demonstrációs mód van.</w:t>
      </w:r>
      <w:r>
        <w:t xml:space="preserve"> </w:t>
      </w:r>
      <w:r>
        <w:rPr>
          <w:rStyle w:val="VerbatimChar"/>
        </w:rPr>
        <w:t xml:space="preserve">all</w:t>
      </w:r>
      <w:r>
        <w:t xml:space="preserve">, queue 32 esetén a bemeneti frame-ek feldolgozása elsődleges.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, queue 1 esetén a frissesség elsődleges, és az új frame lecserélheti a várakozót. A második módnál a replacements számlálása kötelező: az eldobott régi frame nem nevezhető feldolgozási hibának, de zero-drop real-time bizonyítéknak sem.</w:t>
      </w:r>
    </w:p>
    <w:bookmarkEnd w:id="111"/>
    <w:bookmarkStart w:id="112" w:name="tracker-algoritmus"/>
    <w:p>
      <w:pPr>
        <w:pStyle w:val="Heading2"/>
      </w:pPr>
      <w:r>
        <w:rPr>
          <w:rStyle w:val="SectionNumber"/>
        </w:rPr>
        <w:t xml:space="preserve">15.4</w:t>
      </w:r>
      <w:r>
        <w:tab/>
      </w:r>
      <w:r>
        <w:t xml:space="preserve">15.4. Tracker algoritmus</w:t>
      </w:r>
    </w:p>
    <w:p>
      <w:pPr>
        <w:pStyle w:val="FirstParagraph"/>
      </w:pPr>
      <w:r>
        <w:t xml:space="preserve">A jelenlegi</w:t>
      </w:r>
      <w:r>
        <w:t xml:space="preserve"> </w:t>
      </w:r>
      <w:r>
        <w:rPr>
          <w:rStyle w:val="VerbatimChar"/>
        </w:rPr>
        <w:t xml:space="preserve">OnlineBoxTracker</w:t>
      </w:r>
      <w:r>
        <w:t xml:space="preserve"> </w:t>
      </w:r>
      <w:r>
        <w:t xml:space="preserve">determinisztikus, távolságalapú greedy associationt használ. Először a korábbi track állapotából konstans sebességű előrejelzés készül az acquisition timestamp különbsége alapján. Ezután az osztály-kompatibilis, távolság szerint rendezett lehetséges párok közül kerülnek kiválasztásra a gate-en belüli egyezések. Az aktuális implementáció nem használ Hungarian assignmentet; ilyen állítást a jelenlegi rendszerről nem teszünk.</w:t>
      </w:r>
    </w:p>
    <w:p>
      <w:pPr>
        <w:pStyle w:val="BodyText"/>
      </w:pPr>
      <w:r>
        <w:t xml:space="preserve">A default Car association gate 4,0 m, a Pedestrian gate 1,5 m, a Cyclist gate 2,5 m. Egy új track két hit után válik megerősítetté. A megerősített track legfeljebb három hiányzó frame-en és 0,75 s időrésen belül coastolhat. A trail hossza legfeljebb 20 pont, a track ID reset után 1-ről indul.</w:t>
      </w:r>
    </w:p>
    <w:bookmarkEnd w:id="112"/>
    <w:bookmarkStart w:id="113" w:name="reset-és-életciklus"/>
    <w:p>
      <w:pPr>
        <w:pStyle w:val="Heading2"/>
      </w:pPr>
      <w:r>
        <w:rPr>
          <w:rStyle w:val="SectionNumber"/>
        </w:rPr>
        <w:t xml:space="preserve">15.5</w:t>
      </w:r>
      <w:r>
        <w:tab/>
      </w:r>
      <w:r>
        <w:t xml:space="preserve">15.5. Reset és életciklus</w:t>
      </w:r>
    </w:p>
    <w:p>
      <w:pPr>
        <w:pStyle w:val="FirstParagraph"/>
      </w:pPr>
      <w:r>
        <w:t xml:space="preserve">A ROS clock visszafelé ugrása vagy a pont timestamp deduplikált fallbackje új coordinator generationt indít. A pending queue törlődik, régi generáció eredménye nem publikálható, a TF- és trackerállapot resetel, a tracked marker kimenet pedig</w:t>
      </w:r>
      <w:r>
        <w:t xml:space="preserve"> </w:t>
      </w:r>
      <w:r>
        <w:rPr>
          <w:rStyle w:val="VerbatimChar"/>
        </w:rPr>
        <w:t xml:space="preserve">DELETEALL</w:t>
      </w:r>
      <w:r>
        <w:t xml:space="preserve">-t küld. Így a rosbag loop végén az előző kör objektumai nem maradnak a megjelenítésben.</w:t>
      </w:r>
    </w:p>
    <w:p>
      <w:pPr>
        <w:pStyle w:val="BodyText"/>
      </w:pPr>
      <w:r>
        <w:t xml:space="preserve">Leállításkor a bag input áll le először, majd a detector, végül a bridge. A folyamatok saját process groupban futnak, a megszüntetés korlátozott grace period után SIGTERM/SIGKILL felé léphet. A tracker kivételénél a nyers detector output továbbra is publikálható, míg a származtatott tracked output törlődik.</w:t>
      </w:r>
    </w:p>
    <w:bookmarkEnd w:id="113"/>
    <w:bookmarkStart w:id="114" w:name="saját-lexus-bag-mint-demonstráció"/>
    <w:p>
      <w:pPr>
        <w:pStyle w:val="Heading2"/>
      </w:pPr>
      <w:r>
        <w:rPr>
          <w:rStyle w:val="SectionNumber"/>
        </w:rPr>
        <w:t xml:space="preserve">15.6</w:t>
      </w:r>
      <w:r>
        <w:tab/>
      </w:r>
      <w:r>
        <w:t xml:space="preserve">15.6. Saját Lexus bag mint demonstráció</w:t>
      </w:r>
    </w:p>
    <w:p>
      <w:pPr>
        <w:pStyle w:val="FirstParagraph"/>
      </w:pPr>
      <w:r>
        <w:t xml:space="preserve">A saját Lexus bag eredményeit kizárólag kvalitatív demonstrációként kezeljük. A felvétel nincs teljesen annotálva, ezért nem számolható belőle hiteles detection AP, precision–recall, identity-switch, AMOTA vagy egyéb per-frame tracking mutató. A bemutatás azt igazolja, hogy a pontfelhő, kamera, TF, nyers dobozok, stabil ID-k, sebességnyilak és reset-viselkedés együtt megjeleníthető.</w:t>
      </w:r>
    </w:p>
    <w:p>
      <w:pPr>
        <w:pStyle w:val="BodyText"/>
      </w:pPr>
      <w:r>
        <w:t xml:space="preserve">A 2026. szeptember 2-án elfogadott fallback MCAP 29,342 s hosszú, 4 651 üzenetet és 13 szükséges input/output topicot tartalmaz, mérete 443,8 MiB. Ez rögzített playback evidence, nem kvantitatív tracking ground truth.</w:t>
      </w:r>
    </w:p>
    <w:bookmarkEnd w:id="114"/>
    <w:bookmarkEnd w:id="115"/>
    <w:bookmarkStart w:id="120" w:name="tesztelés-és-megbízhatóság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16. Tesztelés és megbízhatóság</w:t>
      </w:r>
    </w:p>
    <w:bookmarkStart w:id="116" w:name="kutatási-határ-tesztelése"/>
    <w:p>
      <w:pPr>
        <w:pStyle w:val="Heading2"/>
      </w:pPr>
      <w:r>
        <w:rPr>
          <w:rStyle w:val="SectionNumber"/>
        </w:rPr>
        <w:t xml:space="preserve">16.1</w:t>
      </w:r>
      <w:r>
        <w:tab/>
      </w:r>
      <w:r>
        <w:t xml:space="preserve">16.1. Kutatási határ tesztelése</w:t>
      </w:r>
    </w:p>
    <w:p>
      <w:pPr>
        <w:pStyle w:val="FirstParagraph"/>
      </w:pPr>
      <w:r>
        <w:t xml:space="preserve">A repository kutatási és runtime tesztjei külön felelősségeket vizsgálnak: config loading, run lifecycle, provenance, checkpoint identity, result binding, comparison compatibility, benchmark schema, playback normalization, frame conversion, ROS üzenetek és tracker állapotgép. A dokumentációs feladat részeként nem futtatjuk a teljes kódtesztsuite-ot, traininget, GPU evaluációt, benchmarkot vagy videót; a korábbi projektátadási acceptance eredményeit evidence-ként hivatkozzuk.</w:t>
      </w:r>
    </w:p>
    <w:p>
      <w:pPr>
        <w:pStyle w:val="BodyText"/>
      </w:pPr>
      <w:r>
        <w:t xml:space="preserve">A korábban rögzített végső integrációs állapotban a CPU-only suite 592 sikeres tesztet adott CUDA elrejtése mellett. Ez a szám a projekt meglévő release handoff evidence-e, nem új mérés ebben a dokumentációs munkamenetben. A jelen munka a dokumentációs buildre, linkekre, ábrákra, bibliográfiára és diff-integritásra korlátozódik.</w:t>
      </w:r>
    </w:p>
    <w:bookmarkEnd w:id="116"/>
    <w:bookmarkStart w:id="117" w:name="artifact--és-comparison-ellenőrzések"/>
    <w:p>
      <w:pPr>
        <w:pStyle w:val="Heading2"/>
      </w:pPr>
      <w:r>
        <w:rPr>
          <w:rStyle w:val="SectionNumber"/>
        </w:rPr>
        <w:t xml:space="preserve">16.2</w:t>
      </w:r>
      <w:r>
        <w:tab/>
      </w:r>
      <w:r>
        <w:t xml:space="preserve">16.2. Artifact- és comparison-ellenőrzések</w:t>
      </w:r>
    </w:p>
    <w:p>
      <w:pPr>
        <w:pStyle w:val="FirstParagraph"/>
      </w:pPr>
      <w:r>
        <w:t xml:space="preserve">A run-owned ellenőrzések minden releváns resultnál azt vizsgálják, hogy a binding run ID-ja, config SHA-256-a és checkpoint SHA-256-a megfelel-e a manifestnek. A checkpoint mérete és újraszámolt hash-e egyezik. A comparison reload ellenőrzi, hogy a kompatibilitási mezők és waiverek megmaradnak-e szerializálás után.</w:t>
      </w:r>
    </w:p>
    <w:p>
      <w:pPr>
        <w:pStyle w:val="BodyText"/>
      </w:pPr>
      <w:r>
        <w:t xml:space="preserve">A multiclass artifactnál a persistent selected checkpoint 32 452 134 byte és SHA-256</w:t>
      </w:r>
      <w:r>
        <w:t xml:space="preserve"> </w:t>
      </w:r>
      <w:r>
        <w:rPr>
          <w:rStyle w:val="VerbatimChar"/>
        </w:rPr>
        <w:t xml:space="preserve">cf62f3c99ce8ebdbb96eaa467cc44c3bde0a152aa25470ce1cfd11b8ac7c7427</w:t>
      </w:r>
      <w:r>
        <w:t xml:space="preserve">. A baseline auditban a canonical PointPillars és SECOND checkpointok tényleges mérete és teljes hash-e egyezik a manifesttel. Ezek az ellenőrzések nem bizonyítják a modell abszolút helyességét, de kizárják a csendes artifact-cserét.</w:t>
      </w:r>
    </w:p>
    <w:bookmarkEnd w:id="117"/>
    <w:bookmarkStart w:id="118" w:name="tracker-megbízhatósága"/>
    <w:p>
      <w:pPr>
        <w:pStyle w:val="Heading2"/>
      </w:pPr>
      <w:r>
        <w:rPr>
          <w:rStyle w:val="SectionNumber"/>
        </w:rPr>
        <w:t xml:space="preserve">16.3</w:t>
      </w:r>
      <w:r>
        <w:tab/>
      </w:r>
      <w:r>
        <w:t xml:space="preserve">16.3. Tracker megbízhatósága</w:t>
      </w:r>
    </w:p>
    <w:p>
      <w:pPr>
        <w:pStyle w:val="FirstParagraph"/>
      </w:pPr>
      <w:r>
        <w:t xml:space="preserve">A szintetikus tracker benchmark 1 000 iterációt és frame-enként 100 detekciót használt. A mért p50 1,141 ms, a p95 1,620 ms volt a dokumentált 2 ms p95 célhoz képest. Az acceptance célja az algoritmikus overhead és a bounded state ellenőrzése, nem a valós szenzoros tracking pontosságának bizonyítása.</w:t>
      </w:r>
    </w:p>
    <w:p>
      <w:pPr>
        <w:pStyle w:val="BodyText"/>
      </w:pPr>
      <w:r>
        <w:t xml:space="preserve">A tesztek ellenőrzik a stabil ID-t, osztályok közötti át nem lépést, class-specific gate-et, konstans sebességű predictiont, coastinget, timestamp resetet, crossing objektumokat, marker törlést és hibabiztonságot. Hungarian assignment teszt nincs, mert az nem része a jelenlegi trackernek.</w:t>
      </w:r>
    </w:p>
    <w:bookmarkEnd w:id="118"/>
    <w:bookmarkStart w:id="119" w:name="élő-acceptance-és-dds-veszteség"/>
    <w:p>
      <w:pPr>
        <w:pStyle w:val="Heading2"/>
      </w:pPr>
      <w:r>
        <w:rPr>
          <w:rStyle w:val="SectionNumber"/>
        </w:rPr>
        <w:t xml:space="preserve">16.4</w:t>
      </w:r>
      <w:r>
        <w:tab/>
      </w:r>
      <w:r>
        <w:t xml:space="preserve">16.4. Élő acceptance és DDS veszteség</w:t>
      </w:r>
    </w:p>
    <w:p>
      <w:pPr>
        <w:pStyle w:val="FirstParagraph"/>
      </w:pPr>
      <w:r>
        <w:t xml:space="preserve">A valós playback acceptance során a</w:t>
      </w:r>
      <w:r>
        <w:t xml:space="preserve"> </w:t>
      </w:r>
      <w:r>
        <w:rPr>
          <w:rStyle w:val="VerbatimChar"/>
        </w:rPr>
        <w:t xml:space="preserve">voxel0075</w:t>
      </w:r>
      <w:r>
        <w:t xml:space="preserve"> </w:t>
      </w:r>
      <w:r>
        <w:t xml:space="preserve">0,5×</w:t>
      </w:r>
      <w:r>
        <w:t xml:space="preserve"> </w:t>
      </w:r>
      <w:r>
        <w:rPr>
          <w:rStyle w:val="VerbatimChar"/>
        </w:rPr>
        <w:t xml:space="preserve">all</w:t>
      </w:r>
      <w:r>
        <w:t xml:space="preserve">/queue 32 és 1,0×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/queue 1 módban is végigvitte a pontfelhőt, TF-et, kamerát, nyers detekciót és tracked outputot. A live DDS mindkét sebességnél nem végzetes PointCloud2 loss-t jelzett. A node ezt külön middleware/input figyelmeztetésként diagnosztizálja; nem állítja róla, hogy a tracking algoritmus hibázott.</w:t>
      </w:r>
    </w:p>
    <w:p>
      <w:pPr>
        <w:pStyle w:val="BodyText"/>
      </w:pPr>
      <w:r>
        <w:t xml:space="preserve">A mintavételezett 1,0× ponton a freshness policy 327 fogadott frame-ből 103 szándékos replacementet jelzett. Ez azt jelenti, hogy a demonstráció frissességi policyje működött, de nem állítható zero-drop valós idejű bizonyítékként. A tracking diagnostics</w:t>
      </w:r>
      <w:r>
        <w:t xml:space="preserve"> </w:t>
      </w:r>
      <w:r>
        <w:rPr>
          <w:rStyle w:val="VerbatimChar"/>
        </w:rPr>
        <w:t xml:space="preserve">failed_tracking_frames=0</w:t>
      </w:r>
      <w:r>
        <w:t xml:space="preserve"> </w:t>
      </w:r>
      <w:r>
        <w:t xml:space="preserve">maradt, de ez nem pótolja a kvantitatív tracking ground truth hiányát.</w:t>
      </w:r>
    </w:p>
    <w:bookmarkEnd w:id="119"/>
    <w:bookmarkEnd w:id="120"/>
    <w:bookmarkStart w:id="125" w:name="korlátok-és-érvényességi-feltételek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17. Korlátok és érvényességi feltételek</w:t>
      </w:r>
    </w:p>
    <w:bookmarkStart w:id="121" w:name="adat--és-mérési-korlátok"/>
    <w:p>
      <w:pPr>
        <w:pStyle w:val="Heading2"/>
      </w:pPr>
      <w:r>
        <w:rPr>
          <w:rStyle w:val="SectionNumber"/>
        </w:rPr>
        <w:t xml:space="preserve">17.1</w:t>
      </w:r>
      <w:r>
        <w:tab/>
      </w:r>
      <w:r>
        <w:t xml:space="preserve">17.1. Adat- és mérési korlátok</w:t>
      </w:r>
    </w:p>
    <w:p>
      <w:pPr>
        <w:pStyle w:val="FirstParagraph"/>
      </w:pPr>
      <w:r>
        <w:t xml:space="preserve">Az összes AP40 eredmény KITTI validation eredmény. Nincs sealed KITTI test eredmény, a KITTI release-version nincs rögzítve, és a comparisonok dataset release-version waivert tartalmaznak. Minden modellhez egyetlen seed/run tartozik; nincs több seedből számolt szórás, konfidenciaintervallum vagy statisztikai szignifikancia.</w:t>
      </w:r>
    </w:p>
    <w:p>
      <w:pPr>
        <w:pStyle w:val="BodyText"/>
      </w:pPr>
      <w:r>
        <w:t xml:space="preserve">A validation partíciót a fejlesztés során többször használtuk modellválasztásra és finalist-ellenőrzésre. Emiatt validation overfitting lehetséges. A hat modell és a finalisták eltérő training budgetje miatt a 20 és 30 epochos futások nem azonos optimalizálási költségű ablációk; a baseline-ok pedig még ennél is eltérőbb, hosszabb hivatalos recipe-ket használnak.</w:t>
      </w:r>
    </w:p>
    <w:bookmarkEnd w:id="121"/>
    <w:bookmarkStart w:id="122" w:name="saját-adatok-és-tracking"/>
    <w:p>
      <w:pPr>
        <w:pStyle w:val="Heading2"/>
      </w:pPr>
      <w:r>
        <w:rPr>
          <w:rStyle w:val="SectionNumber"/>
        </w:rPr>
        <w:t xml:space="preserve">17.2</w:t>
      </w:r>
      <w:r>
        <w:tab/>
      </w:r>
      <w:r>
        <w:t xml:space="preserve">17.2. Saját adatok és tracking</w:t>
      </w:r>
    </w:p>
    <w:p>
      <w:pPr>
        <w:pStyle w:val="FirstParagraph"/>
      </w:pPr>
      <w:r>
        <w:t xml:space="preserve">A Lexus bag nincs teljesen annotálva. Az élő demonstráció kizárólag kvalitatív bizonyíték arra, hogy a LiDAR, TF, kamera, detector és post-detection tracker egy futtatási láncban működik. Trackingre nincs kvantitatív ground truth, ezért nincs hiteles precision, recall, IDF1, AMOTA vagy identity-switch eredmény.</w:t>
      </w:r>
    </w:p>
    <w:p>
      <w:pPr>
        <w:pStyle w:val="BodyText"/>
      </w:pPr>
      <w:r>
        <w:t xml:space="preserve">A tracker jelenlegi determinisztikus távolságalapú greedy association. Ez kicsi és magyarázható, de sűrű, keresztező vagy erősen takart forgalomban az ID-k felcserélődhetnek. A konstans sebességű extrapoláció nem ego-motion-kompenzált, ezért a platform mozgása a track állapotába kerülhet.</w:t>
      </w:r>
    </w:p>
    <w:bookmarkEnd w:id="122"/>
    <w:bookmarkStart w:id="123" w:name="runtime-és-deployment"/>
    <w:p>
      <w:pPr>
        <w:pStyle w:val="Heading2"/>
      </w:pPr>
      <w:r>
        <w:rPr>
          <w:rStyle w:val="SectionNumber"/>
        </w:rPr>
        <w:t xml:space="preserve">17.3</w:t>
      </w:r>
      <w:r>
        <w:tab/>
      </w:r>
      <w:r>
        <w:t xml:space="preserve">17.3. Runtime és deployment</w:t>
      </w:r>
    </w:p>
    <w:p>
      <w:pPr>
        <w:pStyle w:val="FirstParagraph"/>
      </w:pPr>
      <w:r>
        <w:t xml:space="preserve">Az élő DDS loss előfordult; a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policyben szándékos frame replacement is történt. A mért 20 Hz cél csak az RTX 2080 Ti konfigurációra vonatkozik, és nem garantálja az alacsonyabb teljesítményű hardver működését. A baseline-ok nincsenek integrálva a közös Foxglove registrybe, baseline Foxglove-videó még nincs. TensorRT-deployment, FP16/INT8 kalibráció és fagyasztott runtime artifact még nincs.</w:t>
      </w:r>
    </w:p>
    <w:bookmarkEnd w:id="123"/>
    <w:bookmarkStart w:id="124" w:name="érvényességi-feltételek"/>
    <w:p>
      <w:pPr>
        <w:pStyle w:val="Heading2"/>
      </w:pPr>
      <w:r>
        <w:rPr>
          <w:rStyle w:val="SectionNumber"/>
        </w:rPr>
        <w:t xml:space="preserve">17.4</w:t>
      </w:r>
      <w:r>
        <w:tab/>
      </w:r>
      <w:r>
        <w:t xml:space="preserve">17.4. Érvényességi feltételek</w:t>
      </w:r>
    </w:p>
    <w:p>
      <w:pPr>
        <w:pStyle w:val="FirstParagraph"/>
      </w:pPr>
      <w:r>
        <w:t xml:space="preserve">Az eredmények akkor reprodukálhatók érdemben, ha ugyanaz a dataset semantic identity és annotation hash, a resolved config, a selected checkpoint, a metric profile, a benchmark workload és a megfelelő szoftver/hardver környezet áll rendelkezésre. Az abszolút időértékek más GPU-n vagy más driveren nem azonosak. Az AP40 csak a rögzített KITTI validation cohorton értelmezhető, és nem ígér azonos viselkedést a Kaposvár saját felvételein.</w:t>
      </w:r>
    </w:p>
    <w:bookmarkEnd w:id="124"/>
    <w:bookmarkEnd w:id="125"/>
    <w:bookmarkStart w:id="126" w:name="X0d26f3920ae21cb2b21383bd37de763325c15d8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t xml:space="preserve">18. Továbbfejlesztési lehetőségek és jövőbeli tervek</w:t>
      </w:r>
    </w:p>
    <w:p>
      <w:pPr>
        <w:pStyle w:val="FirstParagraph"/>
      </w:pPr>
      <w:r>
        <w:t xml:space="preserve">A következő terv minden pontját ugyanazzal a négy kérdéssel értékeljük: melyik korlátot oldja, mi a várható előny, milyen ellenőrzési kísérlet döntene róla, és mekkora költséggel vagy kockázattal jár. A sorrend a jelenlegi járműdetektálási célhoz igazodik.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Terv</w:t>
            </w:r>
          </w:p>
        </w:tc>
        <w:tc>
          <w:p>
            <w:pPr>
              <w:pStyle w:val="Compact"/>
              <w:jc w:val="left"/>
            </w:pPr>
            <w:r>
              <w:t xml:space="preserve">Megoldandó korlát</w:t>
            </w:r>
          </w:p>
        </w:tc>
        <w:tc>
          <w:p>
            <w:pPr>
              <w:pStyle w:val="Compact"/>
              <w:jc w:val="left"/>
            </w:pPr>
            <w:r>
              <w:t xml:space="preserve">Várható előny</w:t>
            </w:r>
          </w:p>
        </w:tc>
        <w:tc>
          <w:p>
            <w:pPr>
              <w:pStyle w:val="Compact"/>
              <w:jc w:val="left"/>
            </w:pPr>
            <w:r>
              <w:t xml:space="preserve">Ellenőrzési kísérlet</w:t>
            </w:r>
          </w:p>
        </w:tc>
        <w:tc>
          <w:p>
            <w:pPr>
              <w:pStyle w:val="Compact"/>
              <w:jc w:val="left"/>
            </w:pPr>
            <w:r>
              <w:t xml:space="preserve">Költség vagy kockázat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Finalisták kontrollált hyperparameter- és loss-tuningja</w:t>
            </w:r>
          </w:p>
        </w:tc>
        <w:tc>
          <w:p>
            <w:pPr>
              <w:pStyle w:val="Compact"/>
              <w:jc w:val="left"/>
            </w:pPr>
            <w:r>
              <w:t xml:space="preserve">A 30 epochos eredmény a durationt és schedule-t együtt változtatta; a loss súlyok és learning rate nincsenek izoláltan vizsgálva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voxel0075</w:t>
            </w:r>
            <w:r>
              <w:t xml:space="preserve"> </w:t>
            </w:r>
            <w:r>
              <w:t xml:space="preserve">pontossága javulhat, a</w:t>
            </w:r>
            <w:r>
              <w:t xml:space="preserve"> </w:t>
            </w:r>
            <w:r>
              <w:rPr>
                <w:rStyle w:val="VerbatimChar"/>
              </w:rPr>
              <w:t xml:space="preserve">pillar02</w:t>
            </w:r>
            <w:r>
              <w:t xml:space="preserve"> </w:t>
            </w:r>
            <w:r>
              <w:t xml:space="preserve">nyeresége stabilizálható</w:t>
            </w:r>
          </w:p>
        </w:tc>
        <w:tc>
          <w:p>
            <w:pPr>
              <w:pStyle w:val="Compact"/>
              <w:jc w:val="left"/>
            </w:pPr>
            <w:r>
              <w:t xml:space="preserve">Előre rögzített, kis factorial screen ugyanazon spliten: LR, loss weight, score/NMS és scheduler; minden változat saját run/result bindinggal</w:t>
            </w:r>
          </w:p>
        </w:tc>
        <w:tc>
          <w:p>
            <w:pPr>
              <w:pStyle w:val="Compact"/>
              <w:jc w:val="left"/>
            </w:pPr>
            <w:r>
              <w:t xml:space="preserve">Több GPU-idő és validation overfitting; a search space gyorsan nő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Több seed és sealed test</w:t>
            </w:r>
          </w:p>
        </w:tc>
        <w:tc>
          <w:p>
            <w:pPr>
              <w:pStyle w:val="Compact"/>
              <w:jc w:val="left"/>
            </w:pPr>
            <w:r>
              <w:t xml:space="preserve">Egyetlen seed és validation reuse miatt nincs szórás és általánosíthatóság</w:t>
            </w:r>
          </w:p>
        </w:tc>
        <w:tc>
          <w:p>
            <w:pPr>
              <w:pStyle w:val="Compact"/>
              <w:jc w:val="left"/>
            </w:pPr>
            <w:r>
              <w:t xml:space="preserve">Stabilabb rangsor, konfidenciaintervallum és valódi generalizációs ellenőrzés</w:t>
            </w:r>
          </w:p>
        </w:tc>
        <w:tc>
          <w:p>
            <w:pPr>
              <w:pStyle w:val="Compact"/>
              <w:jc w:val="left"/>
            </w:pPr>
            <w:r>
              <w:t xml:space="preserve">Legalább három seed a finalistákon, egyszer lezárt test-protokollal; test eredményt csak a döntési szabály előzetes rögzítése után publikálni</w:t>
            </w:r>
          </w:p>
        </w:tc>
        <w:tc>
          <w:p>
            <w:pPr>
              <w:pStyle w:val="Compact"/>
              <w:jc w:val="left"/>
            </w:pPr>
            <w:r>
              <w:t xml:space="preserve">Jelentős számítási és annotációs/kiértékelési költség; a sealed test kezelése fegyelmet igényel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Saját adatok annotálása és domain adaptation</w:t>
            </w:r>
          </w:p>
        </w:tc>
        <w:tc>
          <w:p>
            <w:pPr>
              <w:pStyle w:val="Compact"/>
              <w:jc w:val="left"/>
            </w:pPr>
            <w:r>
              <w:t xml:space="preserve">A Lexus bag annotálatlan, KITTI és Ouster/Kaposvár domainje eltér</w:t>
            </w:r>
          </w:p>
        </w:tc>
        <w:tc>
          <w:p>
            <w:pPr>
              <w:pStyle w:val="Compact"/>
              <w:jc w:val="left"/>
            </w:pPr>
            <w:r>
              <w:t xml:space="preserve">Saját környezetben mérhető recall, precision és domain-robosztusság</w:t>
            </w:r>
          </w:p>
        </w:tc>
        <w:tc>
          <w:p>
            <w:pPr>
              <w:pStyle w:val="Compact"/>
              <w:jc w:val="left"/>
            </w:pPr>
            <w:r>
              <w:t xml:space="preserve">Mintavétel napszak, időjárás és forgalom szerint; train/val/test saját split; KITTI-pretrained és adapted model összevetése</w:t>
            </w:r>
          </w:p>
        </w:tc>
        <w:tc>
          <w:p>
            <w:pPr>
              <w:pStyle w:val="Compact"/>
              <w:jc w:val="left"/>
            </w:pPr>
            <w:r>
              <w:t xml:space="preserve">Annotációs munka, adatvédelmi és kalibrációs kockázat; kis saját adat túlillesztést okozhat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Multi-sweep és temporal fusion</w:t>
            </w:r>
          </w:p>
        </w:tc>
        <w:tc>
          <w:p>
            <w:pPr>
              <w:pStyle w:val="Compact"/>
              <w:jc w:val="left"/>
            </w:pPr>
            <w:r>
              <w:t xml:space="preserve">Az aktuális detector egy frame-re támaszkodik, takarásnál és ritka pontfelhőnél információt veszít</w:t>
            </w:r>
          </w:p>
        </w:tc>
        <w:tc>
          <w:p>
            <w:pPr>
              <w:pStyle w:val="Compact"/>
              <w:jc w:val="left"/>
            </w:pPr>
            <w:r>
              <w:t xml:space="preserve">Jobb recall, stabilabb középpont és mozgó tárgyak kezelése</w:t>
            </w:r>
          </w:p>
        </w:tc>
        <w:tc>
          <w:p>
            <w:pPr>
              <w:pStyle w:val="Compact"/>
              <w:jc w:val="left"/>
            </w:pPr>
            <w:r>
              <w:t xml:space="preserve">Azonos frame-en single-sweep, multi-sweep és időablakos modell; sweep count, időintervallum és késleltetés külön mérése</w:t>
            </w:r>
          </w:p>
        </w:tc>
        <w:tc>
          <w:p>
            <w:pPr>
              <w:pStyle w:val="Compact"/>
              <w:jc w:val="left"/>
            </w:pPr>
            <w:r>
              <w:t xml:space="preserve">Memória- és latency-növekedés, időszinkronizációs hiba, ego-motion szükségessége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Több LiDAR és kalibráció</w:t>
            </w:r>
          </w:p>
        </w:tc>
        <w:tc>
          <w:p>
            <w:pPr>
              <w:pStyle w:val="Compact"/>
              <w:jc w:val="left"/>
            </w:pPr>
            <w:r>
              <w:t xml:space="preserve">Egy szenzor látómezeje és saját zajprofilja korlátozott; az extrinsic kalibráció kritikus</w:t>
            </w:r>
          </w:p>
        </w:tc>
        <w:tc>
          <w:p>
            <w:pPr>
              <w:pStyle w:val="Compact"/>
              <w:jc w:val="left"/>
            </w:pPr>
            <w:r>
              <w:t xml:space="preserve">Kevesebb takarás, nagyobb térbeli coverage és robusztusabb geometria</w:t>
            </w:r>
          </w:p>
        </w:tc>
        <w:tc>
          <w:p>
            <w:pPr>
              <w:pStyle w:val="Compact"/>
              <w:jc w:val="left"/>
            </w:pPr>
            <w:r>
              <w:t xml:space="preserve">Több szenzoros replay ismert kalibrációval; szenzoronkénti és fused AP/latency; TF residual ellenőrzés</w:t>
            </w:r>
          </w:p>
        </w:tc>
        <w:tc>
          <w:p>
            <w:pPr>
              <w:pStyle w:val="Compact"/>
              <w:jc w:val="left"/>
            </w:pPr>
            <w:r>
              <w:t xml:space="preserve">Szenzorbeszerzés és kalibrációs munka; rossz extrinsic rontja az eredményt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Tracker fejlesztése és kvantitatív értékelése</w:t>
            </w:r>
          </w:p>
        </w:tc>
        <w:tc>
          <w:p>
            <w:pPr>
              <w:pStyle w:val="Compact"/>
              <w:jc w:val="left"/>
            </w:pPr>
            <w:r>
              <w:t xml:space="preserve">A greedy tracker nem ad benchmarkolt ID-stabilitást, a bag nincs annotálva</w:t>
            </w:r>
          </w:p>
        </w:tc>
        <w:tc>
          <w:p>
            <w:pPr>
              <w:pStyle w:val="Compact"/>
              <w:jc w:val="left"/>
            </w:pPr>
            <w:r>
              <w:t xml:space="preserve">Kevesebb ID-switch, jobb coasting és mérhető temporal minőség</w:t>
            </w:r>
          </w:p>
        </w:tc>
        <w:tc>
          <w:p>
            <w:pPr>
              <w:pStyle w:val="Compact"/>
              <w:jc w:val="left"/>
            </w:pPr>
            <w:r>
              <w:t xml:space="preserve">Saját szekvenciák frame- és track-annotációja; precision/recall, IDF1, ID-switch, AMOTA; baseline trackerrel összevetés</w:t>
            </w:r>
          </w:p>
        </w:tc>
        <w:tc>
          <w:p>
            <w:pPr>
              <w:pStyle w:val="Compact"/>
              <w:jc w:val="left"/>
            </w:pPr>
            <w:r>
              <w:t xml:space="preserve">Nagy annotációs költség, a ground truth létrehozása nehéz és időigényes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Hungarian assignment kipróbálása</w:t>
            </w:r>
          </w:p>
        </w:tc>
        <w:tc>
          <w:p>
            <w:pPr>
              <w:pStyle w:val="Compact"/>
              <w:jc w:val="left"/>
            </w:pPr>
            <w:r>
              <w:t xml:space="preserve">A távolságrendezett greedy párosítás lokális döntésekkel tévedhet sűrű jelenetben</w:t>
            </w:r>
          </w:p>
        </w:tc>
        <w:tc>
          <w:p>
            <w:pPr>
              <w:pStyle w:val="Compact"/>
              <w:jc w:val="left"/>
            </w:pPr>
            <w:r>
              <w:t xml:space="preserve">Globális költségminimalizálás és potenciálisan stabilabb ID-k</w:t>
            </w:r>
          </w:p>
        </w:tc>
        <w:tc>
          <w:p>
            <w:pPr>
              <w:pStyle w:val="Compact"/>
              <w:jc w:val="left"/>
            </w:pPr>
            <w:r>
              <w:t xml:space="preserve">Ugyanazon annotált crossing/occlusion szekvencián greedy és Hungarian A/B; ID-switch és update latency mérése</w:t>
            </w:r>
          </w:p>
        </w:tc>
        <w:tc>
          <w:p>
            <w:pPr>
              <w:pStyle w:val="Compact"/>
              <w:jc w:val="left"/>
            </w:pPr>
            <w:r>
              <w:t xml:space="preserve">Új függőség vagy saját implementáció validációja; rossz költségfüggvény esetén nem javít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Ego-motion kompenzáció</w:t>
            </w:r>
          </w:p>
        </w:tc>
        <w:tc>
          <w:p>
            <w:pPr>
              <w:pStyle w:val="Compact"/>
              <w:jc w:val="left"/>
            </w:pPr>
            <w:r>
              <w:t xml:space="preserve">A platform mozgása a konstans sebességű trackben jelenleg nincs leválasztva</w:t>
            </w:r>
          </w:p>
        </w:tc>
        <w:tc>
          <w:p>
            <w:pPr>
              <w:pStyle w:val="Compact"/>
              <w:jc w:val="left"/>
            </w:pPr>
            <w:r>
              <w:t xml:space="preserve">Álló objektumok stabilabb trackje, pontosabb velocity</w:t>
            </w:r>
          </w:p>
        </w:tc>
        <w:tc>
          <w:p>
            <w:pPr>
              <w:pStyle w:val="Compact"/>
              <w:jc w:val="left"/>
            </w:pPr>
            <w:r>
              <w:t xml:space="preserve">TF/odometria alapján kompenzált és kompenzálatlan tracker ugyanazon bagben; statikus objektum velocity hibája</w:t>
            </w:r>
          </w:p>
        </w:tc>
        <w:tc>
          <w:p>
            <w:pPr>
              <w:pStyle w:val="Compact"/>
              <w:jc w:val="left"/>
            </w:pPr>
            <w:r>
              <w:t xml:space="preserve">Odometria/TF minőségétől függ, időszinkronizációs és koordináta-rizikó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Baseline Foxglove-integráció</w:t>
            </w:r>
          </w:p>
        </w:tc>
        <w:tc>
          <w:p>
            <w:pPr>
              <w:pStyle w:val="Compact"/>
              <w:jc w:val="left"/>
            </w:pPr>
            <w:r>
              <w:t xml:space="preserve">Official PointPillars és SECOND nincs a közös registryben, nincs baseline-videó</w:t>
            </w:r>
          </w:p>
        </w:tc>
        <w:tc>
          <w:p>
            <w:pPr>
              <w:pStyle w:val="Compact"/>
              <w:jc w:val="left"/>
            </w:pPr>
            <w:r>
              <w:t xml:space="preserve">Külső referenciák runtime-be mutatása és diagnosztikai összevetése</w:t>
            </w:r>
          </w:p>
        </w:tc>
        <w:tc>
          <w:p>
            <w:pPr>
              <w:pStyle w:val="Compact"/>
              <w:jc w:val="left"/>
            </w:pPr>
            <w:r>
              <w:t xml:space="preserve">Model-specifikus range, class schema, alias és marker mapping; CPU fixture, majd rövid GPU smoke és Foxglove acceptance</w:t>
            </w:r>
          </w:p>
        </w:tc>
        <w:tc>
          <w:p>
            <w:pPr>
              <w:pStyle w:val="Compact"/>
              <w:jc w:val="left"/>
            </w:pPr>
            <w:r>
              <w:t xml:space="preserve">Registry- és launcher-fejlesztés, eltérő range/QoS; baseline artifact történeti/abszolút útvonala kockázat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ROS2/QoS robusztusság</w:t>
            </w:r>
          </w:p>
        </w:tc>
        <w:tc>
          <w:p>
            <w:pPr>
              <w:pStyle w:val="Compact"/>
              <w:jc w:val="left"/>
            </w:pPr>
            <w:r>
              <w:t xml:space="preserve">Élő DDS loss és</w:t>
            </w:r>
            <w:r>
              <w:t xml:space="preserve"> </w:t>
            </w:r>
            <w:r>
              <w:rPr>
                <w:rStyle w:val="VerbatimChar"/>
              </w:rPr>
              <w:t xml:space="preserve">latest</w:t>
            </w:r>
            <w:r>
              <w:t xml:space="preserve"> </w:t>
            </w:r>
            <w:r>
              <w:t xml:space="preserve">replacements fordultak elő</w:t>
            </w:r>
          </w:p>
        </w:tc>
        <w:tc>
          <w:p>
            <w:pPr>
              <w:pStyle w:val="Compact"/>
              <w:jc w:val="left"/>
            </w:pPr>
            <w:r>
              <w:t xml:space="preserve">Kevesebb inputvesztés, jobban értelmezett backpressure és frissesség</w:t>
            </w:r>
          </w:p>
        </w:tc>
        <w:tc>
          <w:p>
            <w:pPr>
              <w:pStyle w:val="Compact"/>
              <w:jc w:val="left"/>
            </w:pPr>
            <w:r>
              <w:t xml:space="preserve">Hálózati és CPU-terheléses replay több QoS-profillal; received, middleware loss, replacements, processed count és end-to-end lag mérése</w:t>
            </w:r>
          </w:p>
        </w:tc>
        <w:tc>
          <w:p>
            <w:pPr>
              <w:pStyle w:val="Compact"/>
              <w:jc w:val="left"/>
            </w:pPr>
            <w:r>
              <w:t xml:space="preserve">Middleware-függőség, queue növelése latencyt és memóriát emelhet; reliable mód torlódhat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TensorRT FP16/INT8 deployment alacsonyabb teljesítményű hardveren</w:t>
            </w:r>
          </w:p>
        </w:tc>
        <w:tc>
          <w:p>
            <w:pPr>
              <w:pStyle w:val="Compact"/>
              <w:jc w:val="left"/>
            </w:pPr>
            <w:r>
              <w:t xml:space="preserve">A PyTorch FP32 kutatási modell nem deployment artifact, a 20 Hz cél célhardveren nincs igazolva</w:t>
            </w:r>
          </w:p>
        </w:tc>
        <w:tc>
          <w:p>
            <w:pPr>
              <w:pStyle w:val="Compact"/>
              <w:jc w:val="left"/>
            </w:pPr>
            <w:r>
              <w:t xml:space="preserve">Kisebb latency, memória és energiaigény</w:t>
            </w:r>
          </w:p>
        </w:tc>
        <w:tc>
          <w:p>
            <w:pPr>
              <w:pStyle w:val="Compact"/>
              <w:jc w:val="left"/>
            </w:pPr>
            <w:r>
              <w:t xml:space="preserve">ONNX/TensorRT export, FP16 és kalibrált INT8; accuracy drift és p50/p95 alacsonyabb GPU-n; ROS2 end-to-end mérés</w:t>
            </w:r>
          </w:p>
        </w:tc>
        <w:tc>
          <w:p>
            <w:pPr>
              <w:pStyle w:val="Compact"/>
              <w:jc w:val="left"/>
            </w:pPr>
            <w:r>
              <w:t xml:space="preserve">Export-kompatibilitás, plugin- és kalibrációs hibák; INT8 pontosságvesztés és hardverbeszerzés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nuScenes</w:t>
            </w:r>
          </w:p>
        </w:tc>
        <w:tc>
          <w:p>
            <w:pPr>
              <w:pStyle w:val="Compact"/>
              <w:jc w:val="left"/>
            </w:pPr>
            <w:r>
              <w:t xml:space="preserve">A KITTI csak egy domain és egy metric profile; nincs temporal/multiszenzoros összevetés</w:t>
            </w:r>
          </w:p>
        </w:tc>
        <w:tc>
          <w:p>
            <w:pPr>
              <w:pStyle w:val="Compact"/>
              <w:jc w:val="left"/>
            </w:pPr>
            <w:r>
              <w:t xml:space="preserve">Általánosabb multimodális és tracking validáció, NDS/mAP/AMOTA kontextus</w:t>
            </w:r>
          </w:p>
        </w:tc>
        <w:tc>
          <w:p>
            <w:pPr>
              <w:pStyle w:val="Compact"/>
              <w:jc w:val="left"/>
            </w:pPr>
            <w:r>
              <w:t xml:space="preserve">CenterPoint-kompatibilis nuScenes split, hivatalos eval, sweep és class mapping; KITTI számokat nem keverni a nuScenes metrikákkal</w:t>
            </w:r>
          </w:p>
        </w:tc>
        <w:tc>
          <w:p>
            <w:pPr>
              <w:pStyle w:val="Compact"/>
              <w:jc w:val="left"/>
            </w:pPr>
            <w:r>
              <w:t xml:space="preserve">Nagy tárhely, adat- és kódkomplexitás, eltérő class/metric; a current comparison profile bővítendő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További multiclass architektúrák</w:t>
            </w:r>
          </w:p>
        </w:tc>
        <w:tc>
          <w:p>
            <w:pPr>
              <w:pStyle w:val="Compact"/>
              <w:jc w:val="left"/>
            </w:pPr>
            <w:r>
              <w:t xml:space="preserve">Jelenleg csak Pillar02-n történt multiclass feasibility</w:t>
            </w:r>
          </w:p>
        </w:tc>
        <w:tc>
          <w:p>
            <w:pPr>
              <w:pStyle w:val="Compact"/>
              <w:jc w:val="left"/>
            </w:pPr>
            <w:r>
              <w:t xml:space="preserve">Ha a cél túlterjed a járműdetektáláson, összevethető ember- és kerékpárosdetektorok</w:t>
            </w:r>
          </w:p>
        </w:tc>
        <w:tc>
          <w:p>
            <w:pPr>
              <w:pStyle w:val="Compact"/>
              <w:jc w:val="left"/>
            </w:pPr>
            <w:r>
              <w:t xml:space="preserve">Csak a cél hivatalos kiterjesztése után, előre rögzített class/budget/split szerint; több architektúra azonos eval/benchmark szerződéssel</w:t>
            </w:r>
          </w:p>
        </w:tc>
        <w:tc>
          <w:p>
            <w:pPr>
              <w:pStyle w:val="Compact"/>
              <w:jc w:val="left"/>
            </w:pPr>
            <w:r>
              <w:t xml:space="preserve">Jelentős számítási költség és összehasonlíthatósági kockázat; addig nem indokolt, amíg a fő cél Car maximalizálása</w:t>
            </w:r>
          </w:p>
        </w:tc>
      </w:tr>
    </w:tbl>
    <w:p>
      <w:pPr>
        <w:pStyle w:val="BodyText"/>
      </w:pPr>
      <w:r>
        <w:t xml:space="preserve">Adatforrás: a jelenlegi evidence, konfigurációk, handoff és baseline audit alapján összeállított fejlesztési terv; külső módszertani háttérként a CenterPoint és nuScenes</w:t>
      </w:r>
      <w:r>
        <w:t xml:space="preserve"> </w:t>
      </w:r>
      <w:r>
        <w:t xml:space="preserve">[5, 11]</w:t>
      </w:r>
      <w:r>
        <w:t xml:space="preserve">, deployment irányként a TensorRT dokumentáció</w:t>
      </w:r>
      <w:r>
        <w:t xml:space="preserve"> </w:t>
      </w:r>
      <w:r>
        <w:t xml:space="preserve">[12]</w:t>
      </w:r>
      <w:r>
        <w:t xml:space="preserve"> </w:t>
      </w:r>
      <w:r>
        <w:t xml:space="preserve">szolgál. Értelmezés: minden terv konkrét jelenlegi korlátra válaszol, és csak olyan kísérlettel tekinthető eredménynek, amely újra run-owned evidence-et termel.</w:t>
      </w:r>
    </w:p>
    <w:bookmarkEnd w:id="126"/>
    <w:bookmarkStart w:id="127" w:name="összegzés"/>
    <w:p>
      <w:pPr>
        <w:pStyle w:val="Heading1"/>
      </w:pPr>
      <w:r>
        <w:rPr>
          <w:rStyle w:val="SectionNumber"/>
        </w:rPr>
        <w:t xml:space="preserve">19</w:t>
      </w:r>
      <w:r>
        <w:tab/>
      </w:r>
      <w:r>
        <w:t xml:space="preserve">19. Összegzés</w:t>
      </w:r>
    </w:p>
    <w:p>
      <w:pPr>
        <w:pStyle w:val="FirstParagraph"/>
      </w:pPr>
      <w:r>
        <w:t xml:space="preserve">A projekt egy dokumentált, LiDAR-only 3D járműdetektálási kutatási utat hozott létre CenterPoint architektúrákkal. A hat Car-only 20 epochos modell közös KITTI validation összevetése alapján a</w:t>
      </w:r>
      <w:r>
        <w:t xml:space="preserve"> </w:t>
      </w:r>
      <w:r>
        <w:rPr>
          <w:rStyle w:val="VerbatimChar"/>
        </w:rPr>
        <w:t xml:space="preserve">voxel0075</w:t>
      </w:r>
      <w:r>
        <w:t xml:space="preserve"> </w:t>
      </w:r>
      <w:r>
        <w:t xml:space="preserve">adta a legjobb pontosságot, a</w:t>
      </w:r>
      <w:r>
        <w:t xml:space="preserve"> </w:t>
      </w:r>
      <w:r>
        <w:rPr>
          <w:rStyle w:val="VerbatimChar"/>
        </w:rPr>
        <w:t xml:space="preserve">pillar02</w:t>
      </w:r>
      <w:r>
        <w:t xml:space="preserve"> </w:t>
      </w:r>
      <w:r>
        <w:t xml:space="preserve">a legkisebb end-to-end p95 késleltetést. A 30 epochos finalist-vizsgálat megmutatta, hogy a hosszabb tanítás modellfüggő: a pillar javult, a voxel romlott. A védett bemutatási döntés ezért a 20 epochos Voxel0075 pontossági és a 30 epochos Pillar02 kis késleltetésű artifactjára épül.</w:t>
      </w:r>
    </w:p>
    <w:p>
      <w:pPr>
        <w:pStyle w:val="BodyText"/>
      </w:pPr>
      <w:r>
        <w:t xml:space="preserve">A multiclass rész kizárólag Pillar02 architektúrán, Car/Pedestrian/Cyclist osztályokkal, 60 epochos feasibility kísérletként készült, epoch 55 kijelölt checkpointtal. Eredményei ígéretesek, de nem rangsorolhatók a hat Car-only modellel. A hivatalos PointPillars és SECOND baseline-ok hitelesen kötöttek, ugyanazon validation adaton erősebb AP40 referenciát adnak, de eltérő training budget miatt nem azonos feltételű rangsor.</w:t>
      </w:r>
    </w:p>
    <w:p>
      <w:pPr>
        <w:pStyle w:val="BodyText"/>
      </w:pPr>
      <w:r>
        <w:t xml:space="preserve">A repository saját erőssége a bizonyítéklánc: a config, dataset, checkpoint, evaluation, benchmark és comparison egyaránt azonosítható. A ROS2/Foxglove út a kiválasztott modelleket TF-fel, QoS-szal, nyers és tracked topicokkal, determinisztikus távolságalapú greedy trackerrel és reset-életciklussal köti össze. Ugyanakkor az eredmények validation-only, single-seed, release-waiveres evidence-ek; a Lexus demonstráció kvalitatív; élő DDS loss történt; a baseline Foxglove-integráció és a TensorRT deployment hiányzik.</w:t>
      </w:r>
    </w:p>
    <w:p>
      <w:pPr>
        <w:pStyle w:val="BodyText"/>
      </w:pPr>
      <w:r>
        <w:t xml:space="preserve">A következő szakmai lépés nem a vak újragenerálás, hanem a finalisták kontrollált tuningja, több seed és sealed test, saját adatok annotálása, időbeli és több-szenzoros kiterjesztés, valamint kvantitatívan értékelt tracker és célhardveres deployment. További multiclass architektúrák csak akkor indokoltak, ha a projekt célja később ténylegesen túlterjed a járműdetektálás maximalizálásán.</w:t>
      </w:r>
    </w:p>
    <w:bookmarkEnd w:id="127"/>
    <w:bookmarkStart w:id="159" w:name="irodalomjegyzék"/>
    <w:p>
      <w:pPr>
        <w:pStyle w:val="Heading1"/>
      </w:pPr>
      <w:r>
        <w:rPr>
          <w:rStyle w:val="SectionNumber"/>
        </w:rPr>
        <w:t xml:space="preserve">20</w:t>
      </w:r>
      <w:r>
        <w:tab/>
      </w:r>
      <w:r>
        <w:t xml:space="preserve">20. Irodalomjegyzék</w:t>
      </w:r>
    </w:p>
    <w:bookmarkStart w:id="157" w:name="refs"/>
    <w:bookmarkStart w:id="130" w:name="ref-kitti"/>
    <w:p>
      <w:pPr>
        <w:pStyle w:val="Bibliography"/>
      </w:pPr>
      <w:r>
        <w:t xml:space="preserve">[1] Geiger, A., Lenz, P., Urtasun, R.,</w:t>
      </w:r>
      <w:r>
        <w:t xml:space="preserve"> </w:t>
      </w:r>
      <w:r>
        <w:t xml:space="preserve">„Are We Ready for Autonomous Driving? The</w:t>
      </w:r>
      <w:r>
        <w:t xml:space="preserve"> </w:t>
      </w:r>
      <w:r>
        <w:t xml:space="preserve">KITTI</w:t>
      </w:r>
      <w:r>
        <w:t xml:space="preserve"> </w:t>
      </w:r>
      <w:r>
        <w:t xml:space="preserve">Vision Benchmark Suite”</w:t>
      </w:r>
      <w:r>
        <w:t xml:space="preserve">,</w:t>
      </w:r>
      <w:r>
        <w:t xml:space="preserve"> </w:t>
      </w:r>
      <w:r>
        <w:rPr>
          <w:iCs/>
          <w:i/>
        </w:rPr>
        <w:t xml:space="preserve">Proceedings of the IEEE Conference on Computer Vision and Pattern Recognition</w:t>
      </w:r>
      <w:r>
        <w:t xml:space="preserve">, pp. 3354–3361, 2012, doi:</w:t>
      </w:r>
      <w:r>
        <w:t xml:space="preserve"> </w:t>
      </w:r>
      <w:hyperlink r:id="rId128">
        <w:r>
          <w:rPr>
            <w:rStyle w:val="Hyperlink"/>
          </w:rPr>
          <w:t xml:space="preserve">10.1109/CVPR.2012.6248074</w:t>
        </w:r>
      </w:hyperlink>
      <w:r>
        <w:t xml:space="preserve">, available:</w:t>
      </w:r>
      <w:r>
        <w:t xml:space="preserve"> </w:t>
      </w:r>
      <w:hyperlink r:id="rId129">
        <w:r>
          <w:rPr>
            <w:rStyle w:val="Hyperlink"/>
          </w:rPr>
          <w:t xml:space="preserve">https://ieeexplore.ieee.org/document/6248074</w:t>
        </w:r>
      </w:hyperlink>
      <w:r>
        <w:t xml:space="preserve">.</w:t>
      </w:r>
    </w:p>
    <w:bookmarkEnd w:id="130"/>
    <w:bookmarkStart w:id="132" w:name="ref-kitti_object"/>
    <w:p>
      <w:pPr>
        <w:pStyle w:val="Bibliography"/>
      </w:pPr>
      <w:r>
        <w:t xml:space="preserve">[2] Technology, K. I. of, Chicago, T. T. I. at,</w:t>
      </w:r>
      <w:r>
        <w:t xml:space="preserve"> </w:t>
      </w:r>
      <w:r>
        <w:t xml:space="preserve">„</w:t>
      </w:r>
      <w:r>
        <w:t xml:space="preserve">KITTI</w:t>
      </w:r>
      <w:r>
        <w:t xml:space="preserve"> </w:t>
      </w:r>
      <w:r>
        <w:t xml:space="preserve">Object Detection Evaluation”</w:t>
      </w:r>
      <w:r>
        <w:t xml:space="preserve">, 2026, available:</w:t>
      </w:r>
      <w:r>
        <w:t xml:space="preserve"> </w:t>
      </w:r>
      <w:hyperlink r:id="rId131">
        <w:r>
          <w:rPr>
            <w:rStyle w:val="Hyperlink"/>
          </w:rPr>
          <w:t xml:space="preserve">https://www.cvlibs.net/datasets/kitti/eval_object.php</w:t>
        </w:r>
      </w:hyperlink>
      <w:r>
        <w:t xml:space="preserve">.</w:t>
      </w:r>
    </w:p>
    <w:bookmarkEnd w:id="132"/>
    <w:bookmarkStart w:id="135" w:name="ref-pointpillars"/>
    <w:p>
      <w:pPr>
        <w:pStyle w:val="Bibliography"/>
      </w:pPr>
      <w:r>
        <w:t xml:space="preserve">[3] Lang, A. H., Vora, S., Caesar, H., Zhou, L., Yang, J., Beijbom, O.,</w:t>
      </w:r>
      <w:r>
        <w:t xml:space="preserve"> </w:t>
      </w:r>
      <w:r>
        <w:t xml:space="preserve">„PointPillars: Fast Encoders for Object Detection from Point Clouds”</w:t>
      </w:r>
      <w:r>
        <w:t xml:space="preserve">,</w:t>
      </w:r>
      <w:r>
        <w:t xml:space="preserve"> </w:t>
      </w:r>
      <w:r>
        <w:rPr>
          <w:iCs/>
          <w:i/>
        </w:rPr>
        <w:t xml:space="preserve">Proceedings of the IEEE/CVF Conference on Computer Vision and Pattern Recognition</w:t>
      </w:r>
      <w:r>
        <w:t xml:space="preserve">, pp. 12689–12697, 2019, doi:</w:t>
      </w:r>
      <w:r>
        <w:t xml:space="preserve"> </w:t>
      </w:r>
      <w:hyperlink r:id="rId133">
        <w:r>
          <w:rPr>
            <w:rStyle w:val="Hyperlink"/>
          </w:rPr>
          <w:t xml:space="preserve">10.1109/CVPR.2019.01298</w:t>
        </w:r>
      </w:hyperlink>
      <w:r>
        <w:t xml:space="preserve">, available:</w:t>
      </w:r>
      <w:r>
        <w:t xml:space="preserve"> </w:t>
      </w:r>
      <w:hyperlink r:id="rId134">
        <w:r>
          <w:rPr>
            <w:rStyle w:val="Hyperlink"/>
          </w:rPr>
          <w:t xml:space="preserve">https://openaccess.thecvf.com/content_CVPR_2019/html/Lang_PointPillars_Fast_Encoders_for_Object_Detection_From_Point_Clouds_CVPR_2019_paper.html</w:t>
        </w:r>
      </w:hyperlink>
      <w:r>
        <w:t xml:space="preserve">.</w:t>
      </w:r>
    </w:p>
    <w:bookmarkEnd w:id="135"/>
    <w:bookmarkStart w:id="138" w:name="ref-second"/>
    <w:p>
      <w:pPr>
        <w:pStyle w:val="Bibliography"/>
      </w:pPr>
      <w:r>
        <w:t xml:space="preserve">[4] Yan, Y., Mao, Y., Li, B.,</w:t>
      </w:r>
      <w:r>
        <w:t xml:space="preserve"> </w:t>
      </w:r>
      <w:r>
        <w:t xml:space="preserve">„SECOND: Sparsely Embedded Convolutional Detection”</w:t>
      </w:r>
      <w:r>
        <w:t xml:space="preserve">,</w:t>
      </w:r>
      <w:r>
        <w:t xml:space="preserve"> </w:t>
      </w:r>
      <w:r>
        <w:rPr>
          <w:iCs/>
          <w:i/>
        </w:rPr>
        <w:t xml:space="preserve">Sensors</w:t>
      </w:r>
      <w:r>
        <w:t xml:space="preserve">, vol. 18, no. 10, pp. 3337, 2018, doi:</w:t>
      </w:r>
      <w:r>
        <w:t xml:space="preserve"> </w:t>
      </w:r>
      <w:hyperlink r:id="rId136">
        <w:r>
          <w:rPr>
            <w:rStyle w:val="Hyperlink"/>
          </w:rPr>
          <w:t xml:space="preserve">10.3390/s18103337</w:t>
        </w:r>
      </w:hyperlink>
      <w:r>
        <w:t xml:space="preserve">, available:</w:t>
      </w:r>
      <w:r>
        <w:t xml:space="preserve"> </w:t>
      </w:r>
      <w:hyperlink r:id="rId137">
        <w:r>
          <w:rPr>
            <w:rStyle w:val="Hyperlink"/>
          </w:rPr>
          <w:t xml:space="preserve">https://www.mdpi.com/1424-8220/18/10/3337</w:t>
        </w:r>
      </w:hyperlink>
      <w:r>
        <w:t xml:space="preserve">.</w:t>
      </w:r>
    </w:p>
    <w:bookmarkEnd w:id="138"/>
    <w:bookmarkStart w:id="141" w:name="ref-centerpoint"/>
    <w:p>
      <w:pPr>
        <w:pStyle w:val="Bibliography"/>
      </w:pPr>
      <w:r>
        <w:t xml:space="preserve">[5] Yin, T., Zhou, X., Krähenbühl, P.,</w:t>
      </w:r>
      <w:r>
        <w:t xml:space="preserve"> </w:t>
      </w:r>
      <w:r>
        <w:t xml:space="preserve">„Center-Based 3D Object Detection and Tracking”</w:t>
      </w:r>
      <w:r>
        <w:t xml:space="preserve">,</w:t>
      </w:r>
      <w:r>
        <w:t xml:space="preserve"> </w:t>
      </w:r>
      <w:r>
        <w:rPr>
          <w:iCs/>
          <w:i/>
        </w:rPr>
        <w:t xml:space="preserve">Proceedings of the IEEE/CVF Conference on Computer Vision and Pattern Recognition</w:t>
      </w:r>
      <w:r>
        <w:t xml:space="preserve">, pp. 11784–11793, 2021, doi:</w:t>
      </w:r>
      <w:r>
        <w:t xml:space="preserve"> </w:t>
      </w:r>
      <w:hyperlink r:id="rId139">
        <w:r>
          <w:rPr>
            <w:rStyle w:val="Hyperlink"/>
          </w:rPr>
          <w:t xml:space="preserve">10.1109/CVPR46437.2021.01161</w:t>
        </w:r>
      </w:hyperlink>
      <w:r>
        <w:t xml:space="preserve">, available:</w:t>
      </w:r>
      <w:r>
        <w:t xml:space="preserve"> </w:t>
      </w:r>
      <w:hyperlink r:id="rId140">
        <w:r>
          <w:rPr>
            <w:rStyle w:val="Hyperlink"/>
          </w:rPr>
          <w:t xml:space="preserve">https://openaccess.thecvf.com/content/CVPR2021/html/Yin_Center-Based_3D_Object_Detection_and_Tracking_CVPR_2021_paper.html</w:t>
        </w:r>
      </w:hyperlink>
      <w:r>
        <w:t xml:space="preserve">.</w:t>
      </w:r>
    </w:p>
    <w:bookmarkEnd w:id="141"/>
    <w:bookmarkStart w:id="143" w:name="ref-pytorch"/>
    <w:p>
      <w:pPr>
        <w:pStyle w:val="Bibliography"/>
      </w:pPr>
      <w:r>
        <w:t xml:space="preserve">[6] Paszke, A., Gross, S., Massa, F., others,</w:t>
      </w:r>
      <w:r>
        <w:t xml:space="preserve"> </w:t>
      </w:r>
      <w:r>
        <w:t xml:space="preserve">„</w:t>
      </w:r>
      <w:r>
        <w:t xml:space="preserve">PyTorch</w:t>
      </w:r>
      <w:r>
        <w:t xml:space="preserve">: An Imperative Style, High-Performance Deep Learning Library”</w:t>
      </w:r>
      <w:r>
        <w:t xml:space="preserve">,</w:t>
      </w:r>
      <w:r>
        <w:t xml:space="preserve"> </w:t>
      </w:r>
      <w:r>
        <w:rPr>
          <w:iCs/>
          <w:i/>
        </w:rPr>
        <w:t xml:space="preserve">Advances in Neural Information Processing Systems 32</w:t>
      </w:r>
      <w:r>
        <w:t xml:space="preserve">, pp. 8024–8035, 2019, available:</w:t>
      </w:r>
      <w:r>
        <w:t xml:space="preserve"> </w:t>
      </w:r>
      <w:hyperlink r:id="rId142">
        <w:r>
          <w:rPr>
            <w:rStyle w:val="Hyperlink"/>
          </w:rPr>
          <w:t xml:space="preserve">https://proceedings.neurips.cc/paper_files/paper/2019/hash/bdbca288fee7f92f2bfa9f7012727740-Abstract.html</w:t>
        </w:r>
      </w:hyperlink>
      <w:r>
        <w:t xml:space="preserve">.</w:t>
      </w:r>
    </w:p>
    <w:bookmarkEnd w:id="143"/>
    <w:bookmarkStart w:id="145" w:name="ref-mmdetection3d"/>
    <w:p>
      <w:pPr>
        <w:pStyle w:val="Bibliography"/>
      </w:pPr>
      <w:r>
        <w:t xml:space="preserve">[7] MMDetection3D Contributors,</w:t>
      </w:r>
      <w:r>
        <w:t xml:space="preserve"> </w:t>
      </w:r>
      <w:r>
        <w:t xml:space="preserve">„</w:t>
      </w:r>
      <w:r>
        <w:t xml:space="preserve">MMDetection3D</w:t>
      </w:r>
      <w:r>
        <w:t xml:space="preserve">: OpenMMLab’s Next-Generation Platform for General 3D Object Detection”</w:t>
      </w:r>
      <w:r>
        <w:t xml:space="preserve">, 2020, available:</w:t>
      </w:r>
      <w:r>
        <w:t xml:space="preserve"> </w:t>
      </w:r>
      <w:hyperlink r:id="rId144">
        <w:r>
          <w:rPr>
            <w:rStyle w:val="Hyperlink"/>
          </w:rPr>
          <w:t xml:space="preserve">https://github.com/open-mmlab/mmdetection3d</w:t>
        </w:r>
      </w:hyperlink>
      <w:r>
        <w:t xml:space="preserve">.</w:t>
      </w:r>
    </w:p>
    <w:bookmarkEnd w:id="145"/>
    <w:bookmarkStart w:id="147" w:name="ref-ros2_topics"/>
    <w:p>
      <w:pPr>
        <w:pStyle w:val="Bibliography"/>
      </w:pPr>
      <w:r>
        <w:t xml:space="preserve">[8] Open Robotics,</w:t>
      </w:r>
      <w:r>
        <w:t xml:space="preserve"> </w:t>
      </w:r>
      <w:r>
        <w:t xml:space="preserve">„</w:t>
      </w:r>
      <w:r>
        <w:t xml:space="preserve">ROS 2</w:t>
      </w:r>
      <w:r>
        <w:t xml:space="preserve"> </w:t>
      </w:r>
      <w:r>
        <w:t xml:space="preserve">Interfaces: Topics, Services and Actions”</w:t>
      </w:r>
      <w:r>
        <w:t xml:space="preserve">, 2026, available:</w:t>
      </w:r>
      <w:r>
        <w:t xml:space="preserve"> </w:t>
      </w:r>
      <w:hyperlink r:id="rId146">
        <w:r>
          <w:rPr>
            <w:rStyle w:val="Hyperlink"/>
          </w:rPr>
          <w:t xml:space="preserve">https://docs.ros.org/en/ros2_documentation/rolling/Concepts/Basic/Interfaces-Topics-Services-Actions.html</w:t>
        </w:r>
      </w:hyperlink>
      <w:r>
        <w:t xml:space="preserve">.</w:t>
      </w:r>
    </w:p>
    <w:bookmarkEnd w:id="147"/>
    <w:bookmarkStart w:id="149" w:name="ref-ros2_qos"/>
    <w:p>
      <w:pPr>
        <w:pStyle w:val="Bibliography"/>
      </w:pPr>
      <w:r>
        <w:t xml:space="preserve">[9] Open Robotics,</w:t>
      </w:r>
      <w:r>
        <w:t xml:space="preserve"> </w:t>
      </w:r>
      <w:r>
        <w:t xml:space="preserve">„Quality of Service Settings”</w:t>
      </w:r>
      <w:r>
        <w:t xml:space="preserve">, 2026, available:</w:t>
      </w:r>
      <w:r>
        <w:t xml:space="preserve"> </w:t>
      </w:r>
      <w:hyperlink r:id="rId148">
        <w:r>
          <w:rPr>
            <w:rStyle w:val="Hyperlink"/>
          </w:rPr>
          <w:t xml:space="preserve">https://docs.ros.org/en/humble/Concepts/Intermediate/About-Quality-of-Service-Settings.html</w:t>
        </w:r>
      </w:hyperlink>
      <w:r>
        <w:t xml:space="preserve">.</w:t>
      </w:r>
    </w:p>
    <w:bookmarkEnd w:id="149"/>
    <w:bookmarkStart w:id="151" w:name="ref-foxglove_ros2"/>
    <w:p>
      <w:pPr>
        <w:pStyle w:val="Bibliography"/>
      </w:pPr>
      <w:r>
        <w:t xml:space="preserve">[10] Foxglove Technologies,</w:t>
      </w:r>
      <w:r>
        <w:t xml:space="preserve"> </w:t>
      </w:r>
      <w:r>
        <w:t xml:space="preserve">„</w:t>
      </w:r>
      <w:r>
        <w:t xml:space="preserve">ROS 2</w:t>
      </w:r>
      <w:r>
        <w:t xml:space="preserve"> </w:t>
      </w:r>
      <w:r>
        <w:t xml:space="preserve">Integration”</w:t>
      </w:r>
      <w:r>
        <w:t xml:space="preserve">, 2026, available:</w:t>
      </w:r>
      <w:r>
        <w:t xml:space="preserve"> </w:t>
      </w:r>
      <w:hyperlink r:id="rId150">
        <w:r>
          <w:rPr>
            <w:rStyle w:val="Hyperlink"/>
          </w:rPr>
          <w:t xml:space="preserve">https://docs.foxglove.dev/docs/getting-started/frameworks/ros2</w:t>
        </w:r>
      </w:hyperlink>
      <w:r>
        <w:t xml:space="preserve">.</w:t>
      </w:r>
    </w:p>
    <w:bookmarkEnd w:id="151"/>
    <w:bookmarkStart w:id="154" w:name="ref-nuscenes"/>
    <w:p>
      <w:pPr>
        <w:pStyle w:val="Bibliography"/>
      </w:pPr>
      <w:r>
        <w:t xml:space="preserve">[11] Caesar, H., Bankiti, V., Lang, A. H., Vora, S., Liong, V. E., Xu, Q., és mtsai.,</w:t>
      </w:r>
      <w:r>
        <w:t xml:space="preserve"> </w:t>
      </w:r>
      <w:r>
        <w:t xml:space="preserve">„nuScenes: A Multimodal Dataset for Autonomous Driving”</w:t>
      </w:r>
      <w:r>
        <w:t xml:space="preserve">,</w:t>
      </w:r>
      <w:r>
        <w:t xml:space="preserve"> </w:t>
      </w:r>
      <w:r>
        <w:rPr>
          <w:iCs/>
          <w:i/>
        </w:rPr>
        <w:t xml:space="preserve">Proceedings of the IEEE/CVF Conference on Computer Vision and Pattern Recognition</w:t>
      </w:r>
      <w:r>
        <w:t xml:space="preserve">, pp. 11621–11631, 2020, doi:</w:t>
      </w:r>
      <w:r>
        <w:t xml:space="preserve"> </w:t>
      </w:r>
      <w:hyperlink r:id="rId152">
        <w:r>
          <w:rPr>
            <w:rStyle w:val="Hyperlink"/>
          </w:rPr>
          <w:t xml:space="preserve">10.1109/CVPR42600.2020.01164</w:t>
        </w:r>
      </w:hyperlink>
      <w:r>
        <w:t xml:space="preserve">, available:</w:t>
      </w:r>
      <w:r>
        <w:t xml:space="preserve"> </w:t>
      </w:r>
      <w:hyperlink r:id="rId153">
        <w:r>
          <w:rPr>
            <w:rStyle w:val="Hyperlink"/>
          </w:rPr>
          <w:t xml:space="preserve">https://openaccess.thecvf.com/content_CVPR_2020/html/Caesar_nuScenes_A_Multimodal_Dataset_for_Autonomous_Driving_CVPR_2020_paper.html</w:t>
        </w:r>
      </w:hyperlink>
      <w:r>
        <w:t xml:space="preserve">.</w:t>
      </w:r>
    </w:p>
    <w:bookmarkEnd w:id="154"/>
    <w:bookmarkStart w:id="156" w:name="ref-tensorrt"/>
    <w:p>
      <w:pPr>
        <w:pStyle w:val="Bibliography"/>
      </w:pPr>
      <w:r>
        <w:t xml:space="preserve">[12] NVIDIA Corporation,</w:t>
      </w:r>
      <w:r>
        <w:t xml:space="preserve"> </w:t>
      </w:r>
      <w:r>
        <w:t xml:space="preserve">„</w:t>
      </w:r>
      <w:r>
        <w:t xml:space="preserve">NVIDIA TensorRT</w:t>
      </w:r>
      <w:r>
        <w:t xml:space="preserve"> </w:t>
      </w:r>
      <w:r>
        <w:t xml:space="preserve">Documentation”</w:t>
      </w:r>
      <w:r>
        <w:t xml:space="preserve">, 2026, available:</w:t>
      </w:r>
      <w:r>
        <w:t xml:space="preserve"> </w:t>
      </w:r>
      <w:hyperlink r:id="rId155">
        <w:r>
          <w:rPr>
            <w:rStyle w:val="Hyperlink"/>
          </w:rPr>
          <w:t xml:space="preserve">https://docs.nvidia.com/tensorrt/</w:t>
        </w:r>
      </w:hyperlink>
      <w:r>
        <w:t xml:space="preserve">.</w:t>
      </w:r>
    </w:p>
    <w:bookmarkEnd w:id="156"/>
    <w:bookmarkEnd w:id="157"/>
    <w:p>
      <w:pPr>
        <w:pStyle w:val="BodyText"/>
      </w:pPr>
      <w:r>
        <w:t xml:space="preserve">Az irodalomjegyzék külső szakirodalmi és hivatalos technikai forrásokat tartalmaz. A saját projekt evidence nem keveredik ezek közé: az E1–E11 az alábbi reprodukciós mellékletben és a repository</w:t>
      </w:r>
      <w:r>
        <w:t xml:space="preserve"> </w:t>
      </w:r>
      <w:hyperlink r:id="rId158">
        <w:r>
          <w:rPr>
            <w:rStyle w:val="VerbatimChar"/>
          </w:rPr>
          <w:t xml:space="preserve">evidence_index.md</w:t>
        </w:r>
      </w:hyperlink>
      <w:r>
        <w:t xml:space="preserve"> </w:t>
      </w:r>
      <w:r>
        <w:t xml:space="preserve">fájljában szerepel.</w:t>
      </w:r>
    </w:p>
    <w:bookmarkEnd w:id="159"/>
    <w:bookmarkStart w:id="187" w:name="reprodukciós-melléklet"/>
    <w:p>
      <w:pPr>
        <w:pStyle w:val="Heading1"/>
      </w:pPr>
      <w:r>
        <w:rPr>
          <w:rStyle w:val="SectionNumber"/>
        </w:rPr>
        <w:t xml:space="preserve">21</w:t>
      </w:r>
      <w:r>
        <w:tab/>
      </w:r>
      <w:r>
        <w:t xml:space="preserve">21. Reprodukciós melléklet</w:t>
      </w:r>
    </w:p>
    <w:bookmarkStart w:id="161" w:name="a-végleges-word-dokumentum-forrása"/>
    <w:p>
      <w:pPr>
        <w:pStyle w:val="Heading2"/>
      </w:pPr>
      <w:r>
        <w:rPr>
          <w:rStyle w:val="SectionNumber"/>
        </w:rPr>
        <w:t xml:space="preserve">21.1</w:t>
      </w:r>
      <w:r>
        <w:tab/>
      </w:r>
      <w:r>
        <w:t xml:space="preserve">21.1. A végleges Word-dokumentum forrása</w:t>
      </w:r>
    </w:p>
    <w:p>
      <w:pPr>
        <w:pStyle w:val="FirstParagraph"/>
      </w:pPr>
      <w:r>
        <w:t xml:space="preserve">A szerkeszthető kanonikus forrás ez a fájl:</w:t>
      </w:r>
      <w:r>
        <w:t xml:space="preserve"> </w:t>
      </w:r>
      <w:hyperlink r:id="rId160">
        <w:r>
          <w:rPr>
            <w:rStyle w:val="VerbatimChar"/>
          </w:rPr>
          <w:t xml:space="preserve">projektdokumentacio.md</w:t>
        </w:r>
      </w:hyperlink>
      <w:r>
        <w:t xml:space="preserve">. A végleges átadási deliverable a hozzá tartozó Word DOCX. A Markdown-forrás, a BibTeX-irodalomjegyzék, a számozott hivatkozási stílus és a végleges ábrafájlok a Word-dokumentum ellenőrzését és későbbi karbantartását szolgáló belső munkafájlok.</w:t>
      </w:r>
    </w:p>
    <w:bookmarkEnd w:id="161"/>
    <w:bookmarkStart w:id="174" w:name="a-hat-car-only-run-evidence-e"/>
    <w:p>
      <w:pPr>
        <w:pStyle w:val="Heading2"/>
      </w:pPr>
      <w:r>
        <w:rPr>
          <w:rStyle w:val="SectionNumber"/>
        </w:rPr>
        <w:t xml:space="preserve">21.2</w:t>
      </w:r>
      <w:r>
        <w:tab/>
      </w:r>
      <w:r>
        <w:t xml:space="preserve">21.2. A hat Car-only run evidence-e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p>
            <w:pPr>
              <w:pStyle w:val="Compact"/>
              <w:jc w:val="left"/>
            </w:pPr>
            <w:r>
              <w:t xml:space="preserve">Modell</w:t>
            </w:r>
          </w:p>
        </w:tc>
        <w:tc>
          <w:p>
            <w:pPr>
              <w:pStyle w:val="Compact"/>
              <w:jc w:val="left"/>
            </w:pPr>
            <w:r>
              <w:t xml:space="preserve">Run ID</w:t>
            </w:r>
          </w:p>
        </w:tc>
        <w:tc>
          <w:p>
            <w:pPr>
              <w:pStyle w:val="Compact"/>
              <w:jc w:val="left"/>
            </w:pPr>
            <w:r>
              <w:t xml:space="preserve">Evaluation result ID</w:t>
            </w:r>
          </w:p>
        </w:tc>
        <w:tc>
          <w:p>
            <w:pPr>
              <w:pStyle w:val="Compact"/>
              <w:jc w:val="left"/>
            </w:pPr>
            <w:r>
              <w:t xml:space="preserve">Benchmark result ID</w:t>
            </w:r>
          </w:p>
        </w:tc>
        <w:tc>
          <w:p>
            <w:pPr>
              <w:pStyle w:val="Compact"/>
              <w:jc w:val="left"/>
            </w:pPr>
            <w:r>
              <w:t xml:space="preserve">Config SHA-256</w:t>
            </w:r>
          </w:p>
        </w:tc>
        <w:tc>
          <w:p>
            <w:pPr>
              <w:pStyle w:val="Compact"/>
              <w:jc w:val="left"/>
            </w:pPr>
            <w:r>
              <w:t xml:space="preserve">Selected checkpoint SHA-256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pillar02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20260827T092033Z-pillar02-3367910930525d0c12ddc346</w:t>
            </w:r>
          </w:p>
        </w:tc>
        <w:tc>
          <w:p>
            <w:pPr>
              <w:pStyle w:val="Compact"/>
              <w:jc w:val="left"/>
            </w:pPr>
            <w:hyperlink r:id="rId162">
              <w:r>
                <w:rPr>
                  <w:rStyle w:val="VerbatimChar"/>
                </w:rPr>
                <w:t xml:space="preserve">result.json</w:t>
              </w:r>
            </w:hyperlink>
            <w:r>
              <w:t xml:space="preserve"> </w:t>
            </w:r>
            <w:r>
              <w:rPr>
                <w:rStyle w:val="VerbatimChar"/>
              </w:rPr>
              <w:t xml:space="preserve">20260901T093536573158Z-evaluation-e06d68a8b48bd9b854eaf052</w:t>
            </w:r>
          </w:p>
        </w:tc>
        <w:tc>
          <w:p>
            <w:pPr>
              <w:pStyle w:val="Compact"/>
              <w:jc w:val="left"/>
            </w:pPr>
            <w:hyperlink r:id="rId163">
              <w:r>
                <w:rPr>
                  <w:rStyle w:val="VerbatimChar"/>
                </w:rPr>
                <w:t xml:space="preserve">result.json</w:t>
              </w:r>
            </w:hyperlink>
            <w:r>
              <w:t xml:space="preserve"> </w:t>
            </w:r>
            <w:r>
              <w:rPr>
                <w:rStyle w:val="VerbatimChar"/>
              </w:rPr>
              <w:t xml:space="preserve">20260901T103846232075Z-benchmark-3e3b0fb771aaacf47599a66d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b0c8a5af268a252be25d56d83ad51b7d1c06ff1e7caf3fde6e418eb2af872fd2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7814db42c341be87c09ae4e68a0266288227aeac6a98cfb83420b4ffb5caaf8d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pillar02-dcn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20260827T092042Z-pillar02-dcn-17f8f3e630e66376d794960d</w:t>
            </w:r>
          </w:p>
        </w:tc>
        <w:tc>
          <w:p>
            <w:pPr>
              <w:pStyle w:val="Compact"/>
              <w:jc w:val="left"/>
            </w:pPr>
            <w:hyperlink r:id="rId164">
              <w:r>
                <w:rPr>
                  <w:rStyle w:val="VerbatimChar"/>
                </w:rPr>
                <w:t xml:space="preserve">result.json</w:t>
              </w:r>
            </w:hyperlink>
            <w:r>
              <w:t xml:space="preserve"> </w:t>
            </w:r>
            <w:r>
              <w:rPr>
                <w:rStyle w:val="VerbatimChar"/>
              </w:rPr>
              <w:t xml:space="preserve">20260901T093605946058Z-evaluation-ce61985392addbb91ac07485</w:t>
            </w:r>
          </w:p>
        </w:tc>
        <w:tc>
          <w:p>
            <w:pPr>
              <w:pStyle w:val="Compact"/>
              <w:jc w:val="left"/>
            </w:pPr>
            <w:hyperlink r:id="rId165">
              <w:r>
                <w:rPr>
                  <w:rStyle w:val="VerbatimChar"/>
                </w:rPr>
                <w:t xml:space="preserve">result.json</w:t>
              </w:r>
            </w:hyperlink>
            <w:r>
              <w:t xml:space="preserve"> </w:t>
            </w:r>
            <w:r>
              <w:rPr>
                <w:rStyle w:val="VerbatimChar"/>
              </w:rPr>
              <w:t xml:space="preserve">20260901T103919909199Z-benchmark-64f38a33a633ba14d1c6700e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4b9ff9542d30071e13a2f98834279e703f1dbfaa1b0ae28af880cbe1359354ee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f24eb4cb51f637ec5f863f2594f6a015cf730c17967bc0d6a231b247e186c92c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voxel01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20260827T092045Z-voxel01-40cd6123fa5b4cdee59306ed</w:t>
            </w:r>
          </w:p>
        </w:tc>
        <w:tc>
          <w:p>
            <w:pPr>
              <w:pStyle w:val="Compact"/>
              <w:jc w:val="left"/>
            </w:pPr>
            <w:hyperlink r:id="rId166">
              <w:r>
                <w:rPr>
                  <w:rStyle w:val="VerbatimChar"/>
                </w:rPr>
                <w:t xml:space="preserve">result.json</w:t>
              </w:r>
            </w:hyperlink>
            <w:r>
              <w:t xml:space="preserve"> </w:t>
            </w:r>
            <w:r>
              <w:rPr>
                <w:rStyle w:val="VerbatimChar"/>
              </w:rPr>
              <w:t xml:space="preserve">20260901T093858828163Z-evaluation-526969cdb8c5cd6b85a8ccf8</w:t>
            </w:r>
          </w:p>
        </w:tc>
        <w:tc>
          <w:p>
            <w:pPr>
              <w:pStyle w:val="Compact"/>
              <w:jc w:val="left"/>
            </w:pPr>
            <w:hyperlink r:id="rId167">
              <w:r>
                <w:rPr>
                  <w:rStyle w:val="VerbatimChar"/>
                </w:rPr>
                <w:t xml:space="preserve">result.json</w:t>
              </w:r>
            </w:hyperlink>
            <w:r>
              <w:t xml:space="preserve"> </w:t>
            </w:r>
            <w:r>
              <w:rPr>
                <w:rStyle w:val="VerbatimChar"/>
              </w:rPr>
              <w:t xml:space="preserve">20260901T104201117381Z-benchmark-e6188523989102d73e2cd36a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dd162b8865e1e9eb99c851b38701f4ca5a92f8064c35e24e9c048760b0a72167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ccf59e3caa80a890db02907337625cfa09b04cc5c196229d4d70bb908e93ce77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voxel01-dcn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20260827T092046Z-voxel01-dcn-bc6db6f99a45864e67165106</w:t>
            </w:r>
          </w:p>
        </w:tc>
        <w:tc>
          <w:p>
            <w:pPr>
              <w:pStyle w:val="Compact"/>
              <w:jc w:val="left"/>
            </w:pPr>
            <w:hyperlink r:id="rId168">
              <w:r>
                <w:rPr>
                  <w:rStyle w:val="VerbatimChar"/>
                </w:rPr>
                <w:t xml:space="preserve">result.json</w:t>
              </w:r>
            </w:hyperlink>
            <w:r>
              <w:t xml:space="preserve"> </w:t>
            </w:r>
            <w:r>
              <w:rPr>
                <w:rStyle w:val="VerbatimChar"/>
              </w:rPr>
              <w:t xml:space="preserve">20260901T094034238698Z-evaluation-4ee16e9ad16608a9fffc4718</w:t>
            </w:r>
          </w:p>
        </w:tc>
        <w:tc>
          <w:p>
            <w:pPr>
              <w:pStyle w:val="Compact"/>
              <w:jc w:val="left"/>
            </w:pPr>
            <w:hyperlink r:id="rId169">
              <w:r>
                <w:rPr>
                  <w:rStyle w:val="VerbatimChar"/>
                </w:rPr>
                <w:t xml:space="preserve">result.json</w:t>
              </w:r>
            </w:hyperlink>
            <w:r>
              <w:t xml:space="preserve"> </w:t>
            </w:r>
            <w:r>
              <w:rPr>
                <w:rStyle w:val="VerbatimChar"/>
              </w:rPr>
              <w:t xml:space="preserve">20260901T104253301390Z-benchmark-7acb9dc627ededb2ead2734b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3bb5857490a422bf69822661f78ffcd349e8a450451ec0cf6eb027fb7b338217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1d0c7441ec14f7a50a2c08b53d232a60282c93df880488e185fe77ebecccc2c2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voxel0075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20260827T092043Z-voxel0075-e583a40f435e3071e0cbd6fc</w:t>
            </w:r>
          </w:p>
        </w:tc>
        <w:tc>
          <w:p>
            <w:pPr>
              <w:pStyle w:val="Compact"/>
              <w:jc w:val="left"/>
            </w:pPr>
            <w:hyperlink r:id="rId170">
              <w:r>
                <w:rPr>
                  <w:rStyle w:val="VerbatimChar"/>
                </w:rPr>
                <w:t xml:space="preserve">result.json</w:t>
              </w:r>
            </w:hyperlink>
            <w:r>
              <w:t xml:space="preserve"> </w:t>
            </w:r>
            <w:r>
              <w:rPr>
                <w:rStyle w:val="VerbatimChar"/>
              </w:rPr>
              <w:t xml:space="preserve">20260901T093742934083Z-evaluation-1da12da1dcea037b32fcd47a</w:t>
            </w:r>
          </w:p>
        </w:tc>
        <w:tc>
          <w:p>
            <w:pPr>
              <w:pStyle w:val="Compact"/>
              <w:jc w:val="left"/>
            </w:pPr>
            <w:hyperlink r:id="rId171">
              <w:r>
                <w:rPr>
                  <w:rStyle w:val="VerbatimChar"/>
                </w:rPr>
                <w:t xml:space="preserve">result.json</w:t>
              </w:r>
            </w:hyperlink>
            <w:r>
              <w:t xml:space="preserve"> </w:t>
            </w:r>
            <w:r>
              <w:rPr>
                <w:rStyle w:val="VerbatimChar"/>
              </w:rPr>
              <w:t xml:space="preserve">20260901T104014393729Z-benchmark-8788ddfdc671d76144efcac4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723749a5dc262ed1e57304092f12694d8f062c4a4158e2d65be685a47874c1b5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5246b24bfe66a81df3bc6ca94db982f0188b33043f25771c40d02be4bcb22507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voxel0075-dcn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20260827T092044Z-voxel0075-dcn-04444a4b945b155c3942a099</w:t>
            </w:r>
          </w:p>
        </w:tc>
        <w:tc>
          <w:p>
            <w:pPr>
              <w:pStyle w:val="Compact"/>
              <w:jc w:val="left"/>
            </w:pPr>
            <w:hyperlink r:id="rId172">
              <w:r>
                <w:rPr>
                  <w:rStyle w:val="VerbatimChar"/>
                </w:rPr>
                <w:t xml:space="preserve">result.json</w:t>
              </w:r>
            </w:hyperlink>
            <w:r>
              <w:t xml:space="preserve"> </w:t>
            </w:r>
            <w:r>
              <w:rPr>
                <w:rStyle w:val="VerbatimChar"/>
              </w:rPr>
              <w:t xml:space="preserve">20260901T093838267394Z-evaluation-6a4dd2e8acccca1273132a53</w:t>
            </w:r>
          </w:p>
        </w:tc>
        <w:tc>
          <w:p>
            <w:pPr>
              <w:pStyle w:val="Compact"/>
              <w:jc w:val="left"/>
            </w:pPr>
            <w:hyperlink r:id="rId173">
              <w:r>
                <w:rPr>
                  <w:rStyle w:val="VerbatimChar"/>
                </w:rPr>
                <w:t xml:space="preserve">result.json</w:t>
              </w:r>
            </w:hyperlink>
            <w:r>
              <w:t xml:space="preserve"> </w:t>
            </w:r>
            <w:r>
              <w:rPr>
                <w:rStyle w:val="VerbatimChar"/>
              </w:rPr>
              <w:t xml:space="preserve">20260901T104109572525Z-benchmark-f40cac7046c76d3d982c2ccb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e30741de06d76ff939daea3da96d044d9d06f0687e7cc55503ffa1a29646414b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e8c5c593416aa134d3db33eb35a27bec20b449478f8b9161779593562051be15</w:t>
            </w:r>
          </w:p>
        </w:tc>
      </w:tr>
    </w:tbl>
    <w:p>
      <w:pPr>
        <w:pStyle w:val="BodyText"/>
      </w:pPr>
      <w:r>
        <w:t xml:space="preserve">Adatforrás: E1/E2 comparisonok és a run-owned result fájlok; az útvonalak a repository gyökeréhez képest feloldhatók. Értelmezés: a hat sor teljes artifact- és result-identitást ad a fő kiválasztás újraellenőrzéséhez.</w:t>
      </w:r>
    </w:p>
    <w:bookmarkEnd w:id="174"/>
    <w:bookmarkStart w:id="183" w:name="X37d85d94d2b284599e769af8e853fe8ed8cf363"/>
    <w:p>
      <w:pPr>
        <w:pStyle w:val="Heading2"/>
      </w:pPr>
      <w:r>
        <w:rPr>
          <w:rStyle w:val="SectionNumber"/>
        </w:rPr>
        <w:t xml:space="preserve">21.3</w:t>
      </w:r>
      <w:r>
        <w:tab/>
      </w:r>
      <w:r>
        <w:t xml:space="preserve">21.3. A finalisták, baseline-ok és multiclass resultok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Kísérlet</w:t>
            </w:r>
          </w:p>
        </w:tc>
        <w:tc>
          <w:p>
            <w:pPr>
              <w:pStyle w:val="Compact"/>
              <w:jc w:val="left"/>
            </w:pPr>
            <w:r>
              <w:t xml:space="preserve">Run ID</w:t>
            </w:r>
          </w:p>
        </w:tc>
        <w:tc>
          <w:p>
            <w:pPr>
              <w:pStyle w:val="Compact"/>
              <w:jc w:val="left"/>
            </w:pPr>
            <w:r>
              <w:t xml:space="preserve">Evaluation result</w:t>
            </w:r>
          </w:p>
        </w:tc>
        <w:tc>
          <w:p>
            <w:pPr>
              <w:pStyle w:val="Compact"/>
              <w:jc w:val="left"/>
            </w:pPr>
            <w:r>
              <w:t xml:space="preserve">Benchmark result</w:t>
            </w:r>
          </w:p>
        </w:tc>
        <w:tc>
          <w:p>
            <w:pPr>
              <w:pStyle w:val="Compact"/>
              <w:jc w:val="left"/>
            </w:pPr>
            <w:r>
              <w:t xml:space="preserve">Feloldott comparison / manifest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voxel0075</w:t>
            </w:r>
            <w:r>
              <w:t xml:space="preserve"> </w:t>
            </w:r>
            <w:r>
              <w:t xml:space="preserve">30 epoch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20260901T195406Z-voxel0075-duration30-2ad23907052ef315ba8f8675</w:t>
            </w:r>
          </w:p>
        </w:tc>
        <w:tc>
          <w:p>
            <w:pPr>
              <w:pStyle w:val="Compact"/>
              <w:jc w:val="left"/>
            </w:pPr>
            <w:hyperlink r:id="rId175">
              <w:r>
                <w:rPr>
                  <w:rStyle w:val="VerbatimChar"/>
                </w:rPr>
                <w:t xml:space="preserve">result.json</w:t>
              </w:r>
            </w:hyperlink>
          </w:p>
        </w:tc>
        <w:tc>
          <w:p>
            <w:pPr>
              <w:pStyle w:val="Compact"/>
              <w:jc w:val="left"/>
            </w:pPr>
            <w:hyperlink r:id="rId176">
              <w:r>
                <w:rPr>
                  <w:rStyle w:val="VerbatimChar"/>
                </w:rPr>
                <w:t xml:space="preserve">result.json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E3</w:t>
            </w:r>
            <w:r>
              <w:t xml:space="preserve"> </w:t>
            </w:r>
            <w:hyperlink r:id="rId86">
              <w:r>
                <w:rPr>
                  <w:rStyle w:val="VerbatimChar"/>
                </w:rPr>
                <w:t xml:space="preserve">paired-end-to-end-p95.json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pillar02</w:t>
            </w:r>
            <w:r>
              <w:t xml:space="preserve"> </w:t>
            </w:r>
            <w:r>
              <w:t xml:space="preserve">30 epoch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20260901T195416Z-pillar02-duration30-2720f37cf422c4e55bafd0a6</w:t>
            </w:r>
          </w:p>
        </w:tc>
        <w:tc>
          <w:p>
            <w:pPr>
              <w:pStyle w:val="Compact"/>
              <w:jc w:val="left"/>
            </w:pPr>
            <w:hyperlink r:id="rId177">
              <w:r>
                <w:rPr>
                  <w:rStyle w:val="VerbatimChar"/>
                </w:rPr>
                <w:t xml:space="preserve">result.json</w:t>
              </w:r>
            </w:hyperlink>
          </w:p>
        </w:tc>
        <w:tc>
          <w:p>
            <w:pPr>
              <w:pStyle w:val="Compact"/>
              <w:jc w:val="left"/>
            </w:pPr>
            <w:hyperlink r:id="rId178">
              <w:r>
                <w:rPr>
                  <w:rStyle w:val="VerbatimChar"/>
                </w:rPr>
                <w:t xml:space="preserve">result.json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E3</w:t>
            </w:r>
            <w:r>
              <w:t xml:space="preserve"> </w:t>
            </w:r>
            <w:hyperlink r:id="rId86">
              <w:r>
                <w:rPr>
                  <w:rStyle w:val="VerbatimChar"/>
                </w:rPr>
                <w:t xml:space="preserve">paired-end-to-end-p95.json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Official PointPillars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20260902T101048Z-official-pointpillars-kitti-d42d15edce05b552fdd14e64</w:t>
            </w:r>
          </w:p>
        </w:tc>
        <w:tc>
          <w:p>
            <w:pPr>
              <w:pStyle w:val="Compact"/>
              <w:jc w:val="left"/>
            </w:pPr>
            <w:hyperlink r:id="rId179">
              <w:r>
                <w:rPr>
                  <w:rStyle w:val="VerbatimChar"/>
                </w:rPr>
                <w:t xml:space="preserve">result.json</w:t>
              </w:r>
            </w:hyperlink>
          </w:p>
        </w:tc>
        <w:tc>
          <w:p>
            <w:pPr>
              <w:pStyle w:val="Compact"/>
              <w:jc w:val="left"/>
            </w:pPr>
            <w:hyperlink r:id="rId180">
              <w:r>
                <w:rPr>
                  <w:rStyle w:val="VerbatimChar"/>
                </w:rPr>
                <w:t xml:space="preserve">result.json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E7</w:t>
            </w:r>
            <w:r>
              <w:t xml:space="preserve"> </w:t>
            </w:r>
            <w:hyperlink r:id="rId102">
              <w:r>
                <w:rPr>
                  <w:rStyle w:val="VerbatimChar"/>
                </w:rPr>
                <w:t xml:space="preserve">comparison.json</w:t>
              </w:r>
            </w:hyperlink>
            <w:r>
              <w:t xml:space="preserve">, E9 audit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Official SECOND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20260902T101049Z-official-second-kitti-75d9305e3403e890a32d553c</w:t>
            </w:r>
          </w:p>
        </w:tc>
        <w:tc>
          <w:p>
            <w:pPr>
              <w:pStyle w:val="Compact"/>
              <w:jc w:val="left"/>
            </w:pPr>
            <w:hyperlink r:id="rId181">
              <w:r>
                <w:rPr>
                  <w:rStyle w:val="VerbatimChar"/>
                </w:rPr>
                <w:t xml:space="preserve">result.json</w:t>
              </w:r>
            </w:hyperlink>
          </w:p>
        </w:tc>
        <w:tc>
          <w:p>
            <w:pPr>
              <w:pStyle w:val="Compact"/>
              <w:jc w:val="left"/>
            </w:pPr>
            <w:hyperlink r:id="rId182">
              <w:r>
                <w:rPr>
                  <w:rStyle w:val="VerbatimChar"/>
                </w:rPr>
                <w:t xml:space="preserve">result.json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E7</w:t>
            </w:r>
            <w:r>
              <w:t xml:space="preserve"> </w:t>
            </w:r>
            <w:hyperlink r:id="rId102">
              <w:r>
                <w:rPr>
                  <w:rStyle w:val="VerbatimChar"/>
                </w:rPr>
                <w:t xml:space="preserve">comparison.json</w:t>
              </w:r>
            </w:hyperlink>
            <w:r>
              <w:t xml:space="preserve">, E9 audit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pillar02</w:t>
            </w:r>
            <w:r>
              <w:t xml:space="preserve"> </w:t>
            </w:r>
            <w:r>
              <w:t xml:space="preserve">multiclass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20260902T125737Z-pillar02-multiclass-faa487143efbe3dba808d9ac</w:t>
            </w:r>
          </w:p>
        </w:tc>
        <w:tc>
          <w:p>
            <w:pPr>
              <w:pStyle w:val="Compact"/>
              <w:jc w:val="left"/>
            </w:pPr>
            <w:r>
              <w:t xml:space="preserve">E4</w:t>
            </w:r>
            <w:r>
              <w:t xml:space="preserve"> </w:t>
            </w:r>
            <w:hyperlink r:id="rId94">
              <w:r>
                <w:rPr>
                  <w:rStyle w:val="VerbatimChar"/>
                </w:rPr>
                <w:t xml:space="preserve">result.json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E5</w:t>
            </w:r>
            <w:r>
              <w:t xml:space="preserve"> </w:t>
            </w:r>
            <w:hyperlink r:id="rId98">
              <w:r>
                <w:rPr>
                  <w:rStyle w:val="VerbatimChar"/>
                </w:rPr>
                <w:t xml:space="preserve">result.json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E6</w:t>
            </w:r>
            <w:r>
              <w:t xml:space="preserve"> </w:t>
            </w:r>
            <w:hyperlink r:id="rId99">
              <w:r>
                <w:rPr>
                  <w:rStyle w:val="VerbatimChar"/>
                </w:rPr>
                <w:t xml:space="preserve">manifest.json</w:t>
              </w:r>
            </w:hyperlink>
          </w:p>
        </w:tc>
      </w:tr>
    </w:tbl>
    <w:p>
      <w:pPr>
        <w:pStyle w:val="BodyText"/>
      </w:pPr>
      <w:r>
        <w:t xml:space="preserve">Adatforrás: E3, E4, E5, E6 és E7. Értelmezés: a 30 epochos és baseline összevetés resolved comparisonban marad; a multiclassnak saját evaluation, benchmark és manifest kötése van.</w:t>
      </w:r>
    </w:p>
    <w:bookmarkEnd w:id="183"/>
    <w:bookmarkStart w:id="184" w:name="saját-project-evidence-katalógus"/>
    <w:p>
      <w:pPr>
        <w:pStyle w:val="Heading2"/>
      </w:pPr>
      <w:r>
        <w:rPr>
          <w:rStyle w:val="SectionNumber"/>
        </w:rPr>
        <w:t xml:space="preserve">21.4</w:t>
      </w:r>
      <w:r>
        <w:tab/>
      </w:r>
      <w:r>
        <w:t xml:space="preserve">21.4. Saját project evidence katalógus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Azonosító</w:t>
            </w:r>
          </w:p>
        </w:tc>
        <w:tc>
          <w:p>
            <w:pPr>
              <w:pStyle w:val="Compact"/>
              <w:jc w:val="left"/>
            </w:pPr>
            <w:r>
              <w:t xml:space="preserve">Saját 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p>
            <w:pPr>
              <w:pStyle w:val="Compact"/>
              <w:jc w:val="left"/>
            </w:pPr>
            <w:r>
              <w:t xml:space="preserve">Hat Car-only modell end-to-end p95 és 3D AP40 resolved comparison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p>
            <w:pPr>
              <w:pStyle w:val="Compact"/>
              <w:jc w:val="left"/>
            </w:pPr>
            <w:r>
              <w:t xml:space="preserve">Hat Car-only modell prediction p95 resolved comparison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p>
            <w:pPr>
              <w:pStyle w:val="Compact"/>
              <w:jc w:val="left"/>
            </w:pPr>
            <w:r>
              <w:t xml:space="preserve">Finalisták párosított 20/30 epochos comparison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p>
            <w:pPr>
              <w:pStyle w:val="Compact"/>
              <w:jc w:val="left"/>
            </w:pPr>
            <w:r>
              <w:t xml:space="preserve">Pillar02 multiclass immutable evaluation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E5</w:t>
            </w:r>
          </w:p>
        </w:tc>
        <w:tc>
          <w:p>
            <w:pPr>
              <w:pStyle w:val="Compact"/>
              <w:jc w:val="left"/>
            </w:pPr>
            <w:r>
              <w:t xml:space="preserve">Pillar02 multiclass immutable benchmark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E6</w:t>
            </w:r>
          </w:p>
        </w:tc>
        <w:tc>
          <w:p>
            <w:pPr>
              <w:pStyle w:val="Compact"/>
              <w:jc w:val="left"/>
            </w:pPr>
            <w:r>
              <w:t xml:space="preserve">Multiclass run manifest, dataset/class/checkpoint identity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E7</w:t>
            </w:r>
          </w:p>
        </w:tc>
        <w:tc>
          <w:p>
            <w:pPr>
              <w:pStyle w:val="Compact"/>
              <w:jc w:val="left"/>
            </w:pPr>
            <w:r>
              <w:t xml:space="preserve">Official PointPillars, Official SECOND és saját finalisták resolved comparison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E8</w:t>
            </w:r>
          </w:p>
        </w:tc>
        <w:tc>
          <w:p>
            <w:pPr>
              <w:pStyle w:val="Compact"/>
              <w:jc w:val="left"/>
            </w:pPr>
            <w:r>
              <w:t xml:space="preserve">Négy végleges prezentációs ábra manifestje és renderelési kötése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E9</w:t>
            </w:r>
          </w:p>
        </w:tc>
        <w:tc>
          <w:p>
            <w:pPr>
              <w:pStyle w:val="Compact"/>
              <w:jc w:val="left"/>
            </w:pPr>
            <w:r>
              <w:t xml:space="preserve">Pretrained baseline config-, checkpoint- és runtime-audit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E10</w:t>
            </w:r>
          </w:p>
        </w:tc>
        <w:tc>
          <w:p>
            <w:pPr>
              <w:pStyle w:val="Compact"/>
              <w:jc w:val="left"/>
            </w:pPr>
            <w:r>
              <w:t xml:space="preserve">Védett finalist registry, presentation acceptance és korlátok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E11</w:t>
            </w:r>
          </w:p>
        </w:tc>
        <w:tc>
          <w:p>
            <w:pPr>
              <w:pStyle w:val="Compact"/>
              <w:jc w:val="left"/>
            </w:pPr>
            <w:r>
              <w:t xml:space="preserve">ROS2/Foxglove launcher, topic, QoS, tracker és MCAP acceptance</w:t>
            </w:r>
          </w:p>
        </w:tc>
      </w:tr>
    </w:tbl>
    <w:p>
      <w:pPr>
        <w:pStyle w:val="BodyText"/>
      </w:pPr>
      <w:r>
        <w:t xml:space="preserve">Adatforrás: az</w:t>
      </w:r>
      <w:r>
        <w:t xml:space="preserve"> </w:t>
      </w:r>
      <w:hyperlink r:id="rId158">
        <w:r>
          <w:rPr>
            <w:rStyle w:val="VerbatimChar"/>
          </w:rPr>
          <w:t xml:space="preserve">evidence_index.md</w:t>
        </w:r>
      </w:hyperlink>
      <w:r>
        <w:t xml:space="preserve"> </w:t>
      </w:r>
      <w:r>
        <w:t xml:space="preserve">E1–E11 táblája és az ahhoz kötött immutable/resolved fájlok. Értelmezés: a katalógus elkülöníti a külső szakirodalmat az egyes saját állításokat hordozó run-, result-, manifest- és ábraevidence-től.</w:t>
      </w:r>
    </w:p>
    <w:p>
      <w:pPr>
        <w:pStyle w:val="BodyText"/>
      </w:pPr>
      <w:r>
        <w:t xml:space="preserve">Az E1–E11 teljes repository-útvonalait a külön</w:t>
      </w:r>
      <w:r>
        <w:t xml:space="preserve"> </w:t>
      </w:r>
      <w:hyperlink r:id="rId158">
        <w:r>
          <w:rPr>
            <w:rStyle w:val="VerbatimChar"/>
          </w:rPr>
          <w:t xml:space="preserve">evidence_index.md</w:t>
        </w:r>
      </w:hyperlink>
      <w:r>
        <w:t xml:space="preserve"> </w:t>
      </w:r>
      <w:r>
        <w:t xml:space="preserve">tartalmazza. A dokumentumban szereplő saját számok a fenti immutable vagy resolved forrásokra vezethetők vissza; a</w:t>
      </w:r>
      <w:r>
        <w:t xml:space="preserve"> </w:t>
      </w:r>
      <w:r>
        <w:rPr>
          <w:rStyle w:val="VerbatimChar"/>
        </w:rPr>
        <w:t xml:space="preserve">research/evaluations/summary.csv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research/benchmarks/summary.csv</w:t>
      </w:r>
      <w:r>
        <w:t xml:space="preserve"> </w:t>
      </w:r>
      <w:r>
        <w:t xml:space="preserve">nem hivatalos adatforrás.</w:t>
      </w:r>
    </w:p>
    <w:bookmarkEnd w:id="184"/>
    <w:bookmarkStart w:id="185" w:name="reprodukciós-ellenőrzőlista"/>
    <w:p>
      <w:pPr>
        <w:pStyle w:val="Heading2"/>
      </w:pPr>
      <w:r>
        <w:rPr>
          <w:rStyle w:val="SectionNumber"/>
        </w:rPr>
        <w:t xml:space="preserve">21.5</w:t>
      </w:r>
      <w:r>
        <w:tab/>
      </w:r>
      <w:r>
        <w:t xml:space="preserve">21.5. Reprodukciós ellenőrzőlista</w:t>
      </w:r>
    </w:p>
    <w:p>
      <w:pPr>
        <w:numPr>
          <w:ilvl w:val="0"/>
          <w:numId w:val="1006"/>
        </w:numPr>
        <w:pStyle w:val="Compact"/>
      </w:pPr>
      <w:r>
        <w:t xml:space="preserve">Ellenőrizd a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ágat és a dokumentációs könyvtárat.</w:t>
      </w:r>
    </w:p>
    <w:p>
      <w:pPr>
        <w:numPr>
          <w:ilvl w:val="0"/>
          <w:numId w:val="1006"/>
        </w:numPr>
        <w:pStyle w:val="Compact"/>
      </w:pPr>
      <w:r>
        <w:t xml:space="preserve">Ellenőrizd a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ieee.csl</w:t>
      </w:r>
      <w:r>
        <w:t xml:space="preserve"> </w:t>
      </w:r>
      <w:r>
        <w:t xml:space="preserve">fájlt, valamint azt, hogy a Word-dokumentum számozott hivatkozásai és irodalomjegyzéke teljes.</w:t>
      </w:r>
    </w:p>
    <w:p>
      <w:pPr>
        <w:numPr>
          <w:ilvl w:val="0"/>
          <w:numId w:val="1006"/>
        </w:numPr>
        <w:pStyle w:val="Compact"/>
      </w:pPr>
      <w:r>
        <w:t xml:space="preserve">Ellenőrizd a hivatkozott DOT/SVG és prezentációs PNG/SVG fájlokat.</w:t>
      </w:r>
    </w:p>
    <w:p>
      <w:pPr>
        <w:numPr>
          <w:ilvl w:val="0"/>
          <w:numId w:val="1006"/>
        </w:numPr>
        <w:pStyle w:val="Compact"/>
      </w:pPr>
      <w:r>
        <w:t xml:space="preserve">Nyisd meg a szükséges resolved comparison JSON-okat, és a dokumentum tábláit a</w:t>
      </w:r>
      <w:r>
        <w:t xml:space="preserve"> </w:t>
      </w:r>
      <w:r>
        <w:rPr>
          <w:rStyle w:val="VerbatimChar"/>
        </w:rPr>
        <w:t xml:space="preserve">rows</w:t>
      </w:r>
      <w:r>
        <w:t xml:space="preserve"> </w:t>
      </w:r>
      <w:r>
        <w:t xml:space="preserve">mezőkkel vesd össze.</w:t>
      </w:r>
    </w:p>
    <w:p>
      <w:pPr>
        <w:numPr>
          <w:ilvl w:val="0"/>
          <w:numId w:val="1006"/>
        </w:numPr>
        <w:pStyle w:val="Compact"/>
      </w:pPr>
      <w:r>
        <w:t xml:space="preserve">A saját modellhez a run ID mellett a config és selected checkpoint SHA-256-át is ellenőrizd.</w:t>
      </w:r>
    </w:p>
    <w:p>
      <w:pPr>
        <w:numPr>
          <w:ilvl w:val="0"/>
          <w:numId w:val="1006"/>
        </w:numPr>
        <w:pStyle w:val="Compact"/>
      </w:pPr>
      <w:r>
        <w:t xml:space="preserve">Baseline esetén külön ellenőrizd a historical import státuszt és az eltérő effective training budgetet.</w:t>
      </w:r>
    </w:p>
    <w:p>
      <w:pPr>
        <w:numPr>
          <w:ilvl w:val="0"/>
          <w:numId w:val="1006"/>
        </w:numPr>
        <w:pStyle w:val="Compact"/>
      </w:pPr>
      <w:r>
        <w:t xml:space="preserve">A multiclass futást csak feasibility evidence-ként értelmezd, ne keverd a Car-only rangsorba.</w:t>
      </w:r>
    </w:p>
    <w:p>
      <w:pPr>
        <w:numPr>
          <w:ilvl w:val="0"/>
          <w:numId w:val="1006"/>
        </w:numPr>
        <w:pStyle w:val="Compact"/>
      </w:pPr>
      <w:r>
        <w:t xml:space="preserve">ROS2 playbackhoz a zárt registryt és a modellhez tartozó range-et használd; ne adj meg tetszőleges checkpoint útvonalat.</w:t>
      </w:r>
    </w:p>
    <w:p>
      <w:pPr>
        <w:numPr>
          <w:ilvl w:val="0"/>
          <w:numId w:val="1006"/>
        </w:numPr>
        <w:pStyle w:val="Compact"/>
      </w:pPr>
      <w:r>
        <w:t xml:space="preserve">Élő acceptancekor rögzítsd a DDS loss, queue replacement, reset és processing státuszokat.</w:t>
      </w:r>
    </w:p>
    <w:p>
      <w:pPr>
        <w:numPr>
          <w:ilvl w:val="0"/>
          <w:numId w:val="1006"/>
        </w:numPr>
        <w:pStyle w:val="Compact"/>
      </w:pPr>
      <w:r>
        <w:t xml:space="preserve">Saját Lexus eredményből ne számolj AP-t vagy tracking metricet annotáció nélkül.</w:t>
      </w:r>
    </w:p>
    <w:bookmarkEnd w:id="185"/>
    <w:bookmarkStart w:id="186" w:name="megmaradó-bizonytalanságok"/>
    <w:p>
      <w:pPr>
        <w:pStyle w:val="Heading2"/>
      </w:pPr>
      <w:r>
        <w:rPr>
          <w:rStyle w:val="SectionNumber"/>
        </w:rPr>
        <w:t xml:space="preserve">21.6</w:t>
      </w:r>
      <w:r>
        <w:tab/>
      </w:r>
      <w:r>
        <w:t xml:space="preserve">21.6. Megmaradó bizonytalanságok</w:t>
      </w:r>
    </w:p>
    <w:p>
      <w:pPr>
        <w:pStyle w:val="FirstParagraph"/>
      </w:pPr>
      <w:r>
        <w:t xml:space="preserve">Megmarad a KITTI release-version waiver, a single-seed korlát, a validation overfitting lehetősége és az eltérő training budgetek hatása. A 20 epochos historical/native runok nem minden esetben őrzik ugyanúgy a seed mezőt, ezért a dokumentum egyetlen run/seed evidence-ről beszél, de nem állít seed-szintű statisztikai stabilitást. A Lexus bag teljes annotációja és a tracking kvantitatív értékelése hiányzik. A live DDS loss és a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replacements miatt a bemutatás nem zero-drop real-time bizonyíték. A baseline Foxglove registry és baseline-videó, valamint a TensorRT FP16/INT8 deployment továbbra is jövőbeli munka.</w:t>
      </w:r>
    </w:p>
    <w:bookmarkEnd w:id="186"/>
    <w:bookmarkEnd w:id="1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2026">
    <w:nsid w:val="ea454b4c"/>
    <w:multiLevelType w:val="multilevel"/>
    <w:lvl w:ilvl="0">
      <w:start w:val="2026"/>
      <w:numFmt w:val="decimal"/>
      <w:lvlText w:val="%1."/>
      <w:lvlJc w:val="left"/>
      <w:pPr>
        <w:ind w:left="720" w:hanging="480"/>
      </w:pPr>
    </w:lvl>
    <w:lvl w:ilvl="1">
      <w:start w:val="2026"/>
      <w:numFmt w:val="decimal"/>
      <w:lvlText w:val="%2."/>
      <w:lvlJc w:val="left"/>
      <w:pPr>
        <w:ind w:left="1440" w:hanging="480"/>
      </w:pPr>
    </w:lvl>
    <w:lvl w:ilvl="2">
      <w:start w:val="2026"/>
      <w:numFmt w:val="decimal"/>
      <w:lvlText w:val="%3."/>
      <w:lvlJc w:val="left"/>
      <w:pPr>
        <w:ind w:left="2160" w:hanging="480"/>
      </w:pPr>
    </w:lvl>
    <w:lvl w:ilvl="3">
      <w:start w:val="2026"/>
      <w:numFmt w:val="decimal"/>
      <w:lvlText w:val="%4."/>
      <w:lvlJc w:val="left"/>
      <w:pPr>
        <w:ind w:left="2880" w:hanging="480"/>
      </w:pPr>
    </w:lvl>
    <w:lvl w:ilvl="4">
      <w:start w:val="2026"/>
      <w:numFmt w:val="decimal"/>
      <w:lvlText w:val="%5."/>
      <w:lvlJc w:val="left"/>
      <w:pPr>
        <w:ind w:left="3600" w:hanging="480"/>
      </w:pPr>
    </w:lvl>
    <w:lvl w:ilvl="5">
      <w:start w:val="2026"/>
      <w:numFmt w:val="decimal"/>
      <w:lvlText w:val="%6."/>
      <w:lvlJc w:val="left"/>
      <w:pPr>
        <w:ind w:left="4320" w:hanging="480"/>
      </w:pPr>
    </w:lvl>
    <w:lvl w:ilvl="6">
      <w:start w:val="2026"/>
      <w:numFmt w:val="decimal"/>
      <w:lvlText w:val="%7."/>
      <w:lvlJc w:val="left"/>
      <w:pPr>
        <w:ind w:left="5040" w:hanging="480"/>
      </w:pPr>
    </w:lvl>
    <w:lvl w:ilvl="7">
      <w:start w:val="2026"/>
      <w:numFmt w:val="decimal"/>
      <w:lvlText w:val="%8."/>
      <w:lvlJc w:val="left"/>
      <w:pPr>
        <w:ind w:left="5760" w:hanging="480"/>
      </w:pPr>
    </w:lvl>
    <w:lvl w:ilvl="8">
      <w:start w:val="2026"/>
      <w:numFmt w:val="decimal"/>
      <w:lvlText w:val="%9.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47261bad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2026"/>
    <w:lvlOverride w:ilvl="0">
      <w:startOverride w:val="2026"/>
    </w:lvlOverride>
    <w:lvlOverride w:ilvl="1">
      <w:startOverride w:val="2026"/>
    </w:lvlOverride>
    <w:lvlOverride w:ilvl="2">
      <w:startOverride w:val="2026"/>
    </w:lvlOverride>
    <w:lvlOverride w:ilvl="3">
      <w:startOverride w:val="2026"/>
    </w:lvlOverride>
    <w:lvlOverride w:ilvl="4">
      <w:startOverride w:val="2026"/>
    </w:lvlOverride>
    <w:lvlOverride w:ilvl="5">
      <w:startOverride w:val="2026"/>
    </w:lvlOverride>
    <w:lvlOverride w:ilvl="6">
      <w:startOverride w:val="2026"/>
    </w:lvlOverride>
    <w:lvlOverride w:ilvl="7">
      <w:startOverride w:val="2026"/>
    </w:lvlOverride>
    <w:lvlOverride w:ilvl="8">
      <w:startOverride w:val="2026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hu-H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9" Target="media/rId89.svg" /><Relationship Type="http://schemas.openxmlformats.org/officeDocument/2006/relationships/image" Id="rId76" Target="media/rId76.svg" /><Relationship Type="http://schemas.openxmlformats.org/officeDocument/2006/relationships/image" Id="rId72" Target="media/rId72.svg" /><Relationship Type="http://schemas.openxmlformats.org/officeDocument/2006/relationships/image" Id="rId95" Target="media/rId95.svg" /><Relationship Type="http://schemas.openxmlformats.org/officeDocument/2006/relationships/image" Id="rId59" Target="media/rId59.svg" /><Relationship Type="http://schemas.openxmlformats.org/officeDocument/2006/relationships/image" Id="rId48" Target="media/rId48.svg" /><Relationship Type="http://schemas.openxmlformats.org/officeDocument/2006/relationships/hyperlink" Id="rId67" Target="../../research/reports/20260827-six-model-20epoch/fresh-end-to-end-p95.json" TargetMode="External" /><Relationship Type="http://schemas.openxmlformats.org/officeDocument/2006/relationships/hyperlink" Id="rId68" Target="../../research/reports/20260827-six-model-20epoch/fresh-prediction-p95.json" TargetMode="External" /><Relationship Type="http://schemas.openxmlformats.org/officeDocument/2006/relationships/hyperlink" Id="rId86" Target="../../research/reports/20260902-finalists-duration30/paired-end-to-end-p95.json" TargetMode="External" /><Relationship Type="http://schemas.openxmlformats.org/officeDocument/2006/relationships/hyperlink" Id="rId102" Target="../../research/reports/20260902-pretrained-baseline-comparison/comparison.json" TargetMode="External" /><Relationship Type="http://schemas.openxmlformats.org/officeDocument/2006/relationships/hyperlink" Id="rId163" Target="../../research/runs/20260827T092033Z-pillar02-3367910930525d0c12ddc346/benchmark/20260901T103846232075Z-benchmark-3e3b0fb771aaacf47599a66d/result.json" TargetMode="External" /><Relationship Type="http://schemas.openxmlformats.org/officeDocument/2006/relationships/hyperlink" Id="rId162" Target="../../research/runs/20260827T092033Z-pillar02-3367910930525d0c12ddc346/evaluation/20260901T093536573158Z-evaluation-e06d68a8b48bd9b854eaf052/result.json" TargetMode="External" /><Relationship Type="http://schemas.openxmlformats.org/officeDocument/2006/relationships/hyperlink" Id="rId165" Target="../../research/runs/20260827T092042Z-pillar02-dcn-17f8f3e630e66376d794960d/benchmark/20260901T103919909199Z-benchmark-64f38a33a633ba14d1c6700e/result.json" TargetMode="External" /><Relationship Type="http://schemas.openxmlformats.org/officeDocument/2006/relationships/hyperlink" Id="rId164" Target="../../research/runs/20260827T092042Z-pillar02-dcn-17f8f3e630e66376d794960d/evaluation/20260901T093605946058Z-evaluation-ce61985392addbb91ac07485/result.json" TargetMode="External" /><Relationship Type="http://schemas.openxmlformats.org/officeDocument/2006/relationships/hyperlink" Id="rId171" Target="../../research/runs/20260827T092043Z-voxel0075-e583a40f435e3071e0cbd6fc/benchmark/20260901T104014393729Z-benchmark-8788ddfdc671d76144efcac4/result.json" TargetMode="External" /><Relationship Type="http://schemas.openxmlformats.org/officeDocument/2006/relationships/hyperlink" Id="rId170" Target="../../research/runs/20260827T092043Z-voxel0075-e583a40f435e3071e0cbd6fc/evaluation/20260901T093742934083Z-evaluation-1da12da1dcea037b32fcd47a/result.json" TargetMode="External" /><Relationship Type="http://schemas.openxmlformats.org/officeDocument/2006/relationships/hyperlink" Id="rId173" Target="../../research/runs/20260827T092044Z-voxel0075-dcn-04444a4b945b155c3942a099/benchmark/20260901T104109572525Z-benchmark-f40cac7046c76d3d982c2ccb/result.json" TargetMode="External" /><Relationship Type="http://schemas.openxmlformats.org/officeDocument/2006/relationships/hyperlink" Id="rId172" Target="../../research/runs/20260827T092044Z-voxel0075-dcn-04444a4b945b155c3942a099/evaluation/20260901T093838267394Z-evaluation-6a4dd2e8acccca1273132a53/result.json" TargetMode="External" /><Relationship Type="http://schemas.openxmlformats.org/officeDocument/2006/relationships/hyperlink" Id="rId167" Target="../../research/runs/20260827T092045Z-voxel01-40cd6123fa5b4cdee59306ed/benchmark/20260901T104201117381Z-benchmark-e6188523989102d73e2cd36a/result.json" TargetMode="External" /><Relationship Type="http://schemas.openxmlformats.org/officeDocument/2006/relationships/hyperlink" Id="rId166" Target="../../research/runs/20260827T092045Z-voxel01-40cd6123fa5b4cdee59306ed/evaluation/20260901T093858828163Z-evaluation-526969cdb8c5cd6b85a8ccf8/result.json" TargetMode="External" /><Relationship Type="http://schemas.openxmlformats.org/officeDocument/2006/relationships/hyperlink" Id="rId169" Target="../../research/runs/20260827T092046Z-voxel01-dcn-bc6db6f99a45864e67165106/benchmark/20260901T104253301390Z-benchmark-7acb9dc627ededb2ead2734b/result.json" TargetMode="External" /><Relationship Type="http://schemas.openxmlformats.org/officeDocument/2006/relationships/hyperlink" Id="rId168" Target="../../research/runs/20260827T092046Z-voxel01-dcn-bc6db6f99a45864e67165106/evaluation/20260901T094034238698Z-evaluation-4ee16e9ad16608a9fffc4718/result.json" TargetMode="External" /><Relationship Type="http://schemas.openxmlformats.org/officeDocument/2006/relationships/hyperlink" Id="rId176" Target="../../research/runs/20260901T195406Z-voxel0075-duration30-2ad23907052ef315ba8f8675/benchmark/20260902T083009602325Z-benchmark-f58a76e9462024acdb0df19e/result.json" TargetMode="External" /><Relationship Type="http://schemas.openxmlformats.org/officeDocument/2006/relationships/hyperlink" Id="rId175" Target="../../research/runs/20260901T195406Z-voxel0075-duration30-2ad23907052ef315ba8f8675/evaluation/20260902T082628281593Z-evaluation-2fdaa37945bd2675c557dfef/result.json" TargetMode="External" /><Relationship Type="http://schemas.openxmlformats.org/officeDocument/2006/relationships/hyperlink" Id="rId178" Target="../../research/runs/20260901T195416Z-pillar02-duration30-2720f37cf422c4e55bafd0a6/benchmark/20260902T083106887597Z-benchmark-943a7b5978dd17570bd393c9/result.json" TargetMode="External" /><Relationship Type="http://schemas.openxmlformats.org/officeDocument/2006/relationships/hyperlink" Id="rId177" Target="../../research/runs/20260901T195416Z-pillar02-duration30-2720f37cf422c4e55bafd0a6/evaluation/20260902T082842231699Z-evaluation-f67bfeac549a966c8ff58b73/result.json" TargetMode="External" /><Relationship Type="http://schemas.openxmlformats.org/officeDocument/2006/relationships/hyperlink" Id="rId180" Target="../../research/runs/20260902T101048Z-official-pointpillars-kitti-d42d15edce05b552fdd14e64/benchmark/20260902T112454193282Z-benchmark-c18cb367b928352f966fca43/result.json" TargetMode="External" /><Relationship Type="http://schemas.openxmlformats.org/officeDocument/2006/relationships/hyperlink" Id="rId179" Target="../../research/runs/20260902T101048Z-official-pointpillars-kitti-d42d15edce05b552fdd14e64/evaluation/20260902T112255519403Z-evaluation-ab18369ae30ea65e3de72021/result.json" TargetMode="External" /><Relationship Type="http://schemas.openxmlformats.org/officeDocument/2006/relationships/hyperlink" Id="rId182" Target="../../research/runs/20260902T101049Z-official-second-kitti-75d9305e3403e890a32d553c/benchmark/20260902T112545789371Z-benchmark-c1b07f9d5ab96b7737f0b62a/result.json" TargetMode="External" /><Relationship Type="http://schemas.openxmlformats.org/officeDocument/2006/relationships/hyperlink" Id="rId181" Target="../../research/runs/20260902T101049Z-official-second-kitti-75d9305e3403e890a32d553c/evaluation/20260902T112255897033Z-evaluation-e7697481d78150aa18f138ce/result.json" TargetMode="External" /><Relationship Type="http://schemas.openxmlformats.org/officeDocument/2006/relationships/hyperlink" Id="rId98" Target="../../research/runs/20260902T125737Z-pillar02-multiclass-faa487143efbe3dba808d9ac/benchmark/20260902T195651982215Z-benchmark-0001486e79f9c7dd48f28e10/result.json" TargetMode="External" /><Relationship Type="http://schemas.openxmlformats.org/officeDocument/2006/relationships/hyperlink" Id="rId94" Target="../../research/runs/20260902T125737Z-pillar02-multiclass-faa487143efbe3dba808d9ac/evaluation/20260902T195616343969Z-evaluation-513fc499ed4e49415ee237c2/result.json" TargetMode="External" /><Relationship Type="http://schemas.openxmlformats.org/officeDocument/2006/relationships/hyperlink" Id="rId99" Target="../../research/runs/20260902T125737Z-pillar02-multiclass-faa487143efbe3dba808d9ac/manifest.json" TargetMode="External" /><Relationship Type="http://schemas.openxmlformats.org/officeDocument/2006/relationships/hyperlink" Id="rId74" Target="../presentation_assets/final/manifest.md" TargetMode="External" /><Relationship Type="http://schemas.openxmlformats.org/officeDocument/2006/relationships/hyperlink" Id="rId104" Target="../presentation_assets/final/pretrained_baseline_audit.md" TargetMode="External" /><Relationship Type="http://schemas.openxmlformats.org/officeDocument/2006/relationships/hyperlink" Id="rId82" Target="../presentation_handoff.md" TargetMode="External" /><Relationship Type="http://schemas.openxmlformats.org/officeDocument/2006/relationships/hyperlink" Id="rId109" Target="../tracked_foxglove_demo.md" TargetMode="External" /><Relationship Type="http://schemas.openxmlformats.org/officeDocument/2006/relationships/hyperlink" Id="rId158" Target="evidence_index.md" TargetMode="External" /><Relationship Type="http://schemas.openxmlformats.org/officeDocument/2006/relationships/hyperlink" Id="rId61" Target="figures/evidence_pipeline.dot" TargetMode="External" /><Relationship Type="http://schemas.openxmlformats.org/officeDocument/2006/relationships/hyperlink" Id="rId62" Target="figures/evidence_pipeline.svg" TargetMode="External" /><Relationship Type="http://schemas.openxmlformats.org/officeDocument/2006/relationships/hyperlink" Id="rId50" Target="figures/rendszerarchitektura.dot" TargetMode="External" /><Relationship Type="http://schemas.openxmlformats.org/officeDocument/2006/relationships/hyperlink" Id="rId51" Target="figures/rendszerarchitektura.svg" TargetMode="External" /><Relationship Type="http://schemas.openxmlformats.org/officeDocument/2006/relationships/hyperlink" Id="rId150" Target="https://docs.foxglove.dev/docs/getting-started/frameworks/ros2" TargetMode="External" /><Relationship Type="http://schemas.openxmlformats.org/officeDocument/2006/relationships/hyperlink" Id="rId155" Target="https://docs.nvidia.com/tensorrt/" TargetMode="External" /><Relationship Type="http://schemas.openxmlformats.org/officeDocument/2006/relationships/hyperlink" Id="rId148" Target="https://docs.ros.org/en/humble/Concepts/Intermediate/About-Quality-of-Service-Settings.html" TargetMode="External" /><Relationship Type="http://schemas.openxmlformats.org/officeDocument/2006/relationships/hyperlink" Id="rId146" Target="https://docs.ros.org/en/ros2_documentation/rolling/Concepts/Basic/Interfaces-Topics-Services-Actions.html" TargetMode="External" /><Relationship Type="http://schemas.openxmlformats.org/officeDocument/2006/relationships/hyperlink" Id="rId128" Target="https://doi.org/10.1109/CVPR.2012.6248074" TargetMode="External" /><Relationship Type="http://schemas.openxmlformats.org/officeDocument/2006/relationships/hyperlink" Id="rId133" Target="https://doi.org/10.1109/CVPR.2019.01298" TargetMode="External" /><Relationship Type="http://schemas.openxmlformats.org/officeDocument/2006/relationships/hyperlink" Id="rId152" Target="https://doi.org/10.1109/CVPR42600.2020.01164" TargetMode="External" /><Relationship Type="http://schemas.openxmlformats.org/officeDocument/2006/relationships/hyperlink" Id="rId139" Target="https://doi.org/10.1109/CVPR46437.2021.01161" TargetMode="External" /><Relationship Type="http://schemas.openxmlformats.org/officeDocument/2006/relationships/hyperlink" Id="rId136" Target="https://doi.org/10.3390/s18103337" TargetMode="External" /><Relationship Type="http://schemas.openxmlformats.org/officeDocument/2006/relationships/hyperlink" Id="rId144" Target="https://github.com/open-mmlab/mmdetection3d" TargetMode="External" /><Relationship Type="http://schemas.openxmlformats.org/officeDocument/2006/relationships/hyperlink" Id="rId129" Target="https://ieeexplore.ieee.org/document/6248074" TargetMode="External" /><Relationship Type="http://schemas.openxmlformats.org/officeDocument/2006/relationships/hyperlink" Id="rId140" Target="https://openaccess.thecvf.com/content/CVPR2021/html/Yin_Center-Based_3D_Object_Detection_and_Tracking_CVPR_2021_paper.html" TargetMode="External" /><Relationship Type="http://schemas.openxmlformats.org/officeDocument/2006/relationships/hyperlink" Id="rId134" Target="https://openaccess.thecvf.com/content_CVPR_2019/html/Lang_PointPillars_Fast_Encoders_for_Object_Detection_From_Point_Clouds_CVPR_2019_paper.html" TargetMode="External" /><Relationship Type="http://schemas.openxmlformats.org/officeDocument/2006/relationships/hyperlink" Id="rId153" Target="https://openaccess.thecvf.com/content_CVPR_2020/html/Caesar_nuScenes_A_Multimodal_Dataset_for_Autonomous_Driving_CVPR_2020_paper.html" TargetMode="External" /><Relationship Type="http://schemas.openxmlformats.org/officeDocument/2006/relationships/hyperlink" Id="rId142" Target="https://proceedings.neurips.cc/paper_files/paper/2019/hash/bdbca288fee7f92f2bfa9f7012727740-Abstract.html" TargetMode="External" /><Relationship Type="http://schemas.openxmlformats.org/officeDocument/2006/relationships/hyperlink" Id="rId131" Target="https://www.cvlibs.net/datasets/kitti/eval_object.php" TargetMode="External" /><Relationship Type="http://schemas.openxmlformats.org/officeDocument/2006/relationships/hyperlink" Id="rId137" Target="https://www.mdpi.com/1424-8220/18/10/3337" TargetMode="External" /><Relationship Type="http://schemas.openxmlformats.org/officeDocument/2006/relationships/hyperlink" Id="rId160" Target="projektdokumentaci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../../research/reports/20260827-six-model-20epoch/fresh-end-to-end-p95.json" TargetMode="External" /><Relationship Type="http://schemas.openxmlformats.org/officeDocument/2006/relationships/hyperlink" Id="rId68" Target="../../research/reports/20260827-six-model-20epoch/fresh-prediction-p95.json" TargetMode="External" /><Relationship Type="http://schemas.openxmlformats.org/officeDocument/2006/relationships/hyperlink" Id="rId86" Target="../../research/reports/20260902-finalists-duration30/paired-end-to-end-p95.json" TargetMode="External" /><Relationship Type="http://schemas.openxmlformats.org/officeDocument/2006/relationships/hyperlink" Id="rId102" Target="../../research/reports/20260902-pretrained-baseline-comparison/comparison.json" TargetMode="External" /><Relationship Type="http://schemas.openxmlformats.org/officeDocument/2006/relationships/hyperlink" Id="rId163" Target="../../research/runs/20260827T092033Z-pillar02-3367910930525d0c12ddc346/benchmark/20260901T103846232075Z-benchmark-3e3b0fb771aaacf47599a66d/result.json" TargetMode="External" /><Relationship Type="http://schemas.openxmlformats.org/officeDocument/2006/relationships/hyperlink" Id="rId162" Target="../../research/runs/20260827T092033Z-pillar02-3367910930525d0c12ddc346/evaluation/20260901T093536573158Z-evaluation-e06d68a8b48bd9b854eaf052/result.json" TargetMode="External" /><Relationship Type="http://schemas.openxmlformats.org/officeDocument/2006/relationships/hyperlink" Id="rId165" Target="../../research/runs/20260827T092042Z-pillar02-dcn-17f8f3e630e66376d794960d/benchmark/20260901T103919909199Z-benchmark-64f38a33a633ba14d1c6700e/result.json" TargetMode="External" /><Relationship Type="http://schemas.openxmlformats.org/officeDocument/2006/relationships/hyperlink" Id="rId164" Target="../../research/runs/20260827T092042Z-pillar02-dcn-17f8f3e630e66376d794960d/evaluation/20260901T093605946058Z-evaluation-ce61985392addbb91ac07485/result.json" TargetMode="External" /><Relationship Type="http://schemas.openxmlformats.org/officeDocument/2006/relationships/hyperlink" Id="rId171" Target="../../research/runs/20260827T092043Z-voxel0075-e583a40f435e3071e0cbd6fc/benchmark/20260901T104014393729Z-benchmark-8788ddfdc671d76144efcac4/result.json" TargetMode="External" /><Relationship Type="http://schemas.openxmlformats.org/officeDocument/2006/relationships/hyperlink" Id="rId170" Target="../../research/runs/20260827T092043Z-voxel0075-e583a40f435e3071e0cbd6fc/evaluation/20260901T093742934083Z-evaluation-1da12da1dcea037b32fcd47a/result.json" TargetMode="External" /><Relationship Type="http://schemas.openxmlformats.org/officeDocument/2006/relationships/hyperlink" Id="rId173" Target="../../research/runs/20260827T092044Z-voxel0075-dcn-04444a4b945b155c3942a099/benchmark/20260901T104109572525Z-benchmark-f40cac7046c76d3d982c2ccb/result.json" TargetMode="External" /><Relationship Type="http://schemas.openxmlformats.org/officeDocument/2006/relationships/hyperlink" Id="rId172" Target="../../research/runs/20260827T092044Z-voxel0075-dcn-04444a4b945b155c3942a099/evaluation/20260901T093838267394Z-evaluation-6a4dd2e8acccca1273132a53/result.json" TargetMode="External" /><Relationship Type="http://schemas.openxmlformats.org/officeDocument/2006/relationships/hyperlink" Id="rId167" Target="../../research/runs/20260827T092045Z-voxel01-40cd6123fa5b4cdee59306ed/benchmark/20260901T104201117381Z-benchmark-e6188523989102d73e2cd36a/result.json" TargetMode="External" /><Relationship Type="http://schemas.openxmlformats.org/officeDocument/2006/relationships/hyperlink" Id="rId166" Target="../../research/runs/20260827T092045Z-voxel01-40cd6123fa5b4cdee59306ed/evaluation/20260901T093858828163Z-evaluation-526969cdb8c5cd6b85a8ccf8/result.json" TargetMode="External" /><Relationship Type="http://schemas.openxmlformats.org/officeDocument/2006/relationships/hyperlink" Id="rId169" Target="../../research/runs/20260827T092046Z-voxel01-dcn-bc6db6f99a45864e67165106/benchmark/20260901T104253301390Z-benchmark-7acb9dc627ededb2ead2734b/result.json" TargetMode="External" /><Relationship Type="http://schemas.openxmlformats.org/officeDocument/2006/relationships/hyperlink" Id="rId168" Target="../../research/runs/20260827T092046Z-voxel01-dcn-bc6db6f99a45864e67165106/evaluation/20260901T094034238698Z-evaluation-4ee16e9ad16608a9fffc4718/result.json" TargetMode="External" /><Relationship Type="http://schemas.openxmlformats.org/officeDocument/2006/relationships/hyperlink" Id="rId176" Target="../../research/runs/20260901T195406Z-voxel0075-duration30-2ad23907052ef315ba8f8675/benchmark/20260902T083009602325Z-benchmark-f58a76e9462024acdb0df19e/result.json" TargetMode="External" /><Relationship Type="http://schemas.openxmlformats.org/officeDocument/2006/relationships/hyperlink" Id="rId175" Target="../../research/runs/20260901T195406Z-voxel0075-duration30-2ad23907052ef315ba8f8675/evaluation/20260902T082628281593Z-evaluation-2fdaa37945bd2675c557dfef/result.json" TargetMode="External" /><Relationship Type="http://schemas.openxmlformats.org/officeDocument/2006/relationships/hyperlink" Id="rId178" Target="../../research/runs/20260901T195416Z-pillar02-duration30-2720f37cf422c4e55bafd0a6/benchmark/20260902T083106887597Z-benchmark-943a7b5978dd17570bd393c9/result.json" TargetMode="External" /><Relationship Type="http://schemas.openxmlformats.org/officeDocument/2006/relationships/hyperlink" Id="rId177" Target="../../research/runs/20260901T195416Z-pillar02-duration30-2720f37cf422c4e55bafd0a6/evaluation/20260902T082842231699Z-evaluation-f67bfeac549a966c8ff58b73/result.json" TargetMode="External" /><Relationship Type="http://schemas.openxmlformats.org/officeDocument/2006/relationships/hyperlink" Id="rId180" Target="../../research/runs/20260902T101048Z-official-pointpillars-kitti-d42d15edce05b552fdd14e64/benchmark/20260902T112454193282Z-benchmark-c18cb367b928352f966fca43/result.json" TargetMode="External" /><Relationship Type="http://schemas.openxmlformats.org/officeDocument/2006/relationships/hyperlink" Id="rId179" Target="../../research/runs/20260902T101048Z-official-pointpillars-kitti-d42d15edce05b552fdd14e64/evaluation/20260902T112255519403Z-evaluation-ab18369ae30ea65e3de72021/result.json" TargetMode="External" /><Relationship Type="http://schemas.openxmlformats.org/officeDocument/2006/relationships/hyperlink" Id="rId182" Target="../../research/runs/20260902T101049Z-official-second-kitti-75d9305e3403e890a32d553c/benchmark/20260902T112545789371Z-benchmark-c1b07f9d5ab96b7737f0b62a/result.json" TargetMode="External" /><Relationship Type="http://schemas.openxmlformats.org/officeDocument/2006/relationships/hyperlink" Id="rId181" Target="../../research/runs/20260902T101049Z-official-second-kitti-75d9305e3403e890a32d553c/evaluation/20260902T112255897033Z-evaluation-e7697481d78150aa18f138ce/result.json" TargetMode="External" /><Relationship Type="http://schemas.openxmlformats.org/officeDocument/2006/relationships/hyperlink" Id="rId98" Target="../../research/runs/20260902T125737Z-pillar02-multiclass-faa487143efbe3dba808d9ac/benchmark/20260902T195651982215Z-benchmark-0001486e79f9c7dd48f28e10/result.json" TargetMode="External" /><Relationship Type="http://schemas.openxmlformats.org/officeDocument/2006/relationships/hyperlink" Id="rId94" Target="../../research/runs/20260902T125737Z-pillar02-multiclass-faa487143efbe3dba808d9ac/evaluation/20260902T195616343969Z-evaluation-513fc499ed4e49415ee237c2/result.json" TargetMode="External" /><Relationship Type="http://schemas.openxmlformats.org/officeDocument/2006/relationships/hyperlink" Id="rId99" Target="../../research/runs/20260902T125737Z-pillar02-multiclass-faa487143efbe3dba808d9ac/manifest.json" TargetMode="External" /><Relationship Type="http://schemas.openxmlformats.org/officeDocument/2006/relationships/hyperlink" Id="rId74" Target="../presentation_assets/final/manifest.md" TargetMode="External" /><Relationship Type="http://schemas.openxmlformats.org/officeDocument/2006/relationships/hyperlink" Id="rId104" Target="../presentation_assets/final/pretrained_baseline_audit.md" TargetMode="External" /><Relationship Type="http://schemas.openxmlformats.org/officeDocument/2006/relationships/hyperlink" Id="rId82" Target="../presentation_handoff.md" TargetMode="External" /><Relationship Type="http://schemas.openxmlformats.org/officeDocument/2006/relationships/hyperlink" Id="rId109" Target="../tracked_foxglove_demo.md" TargetMode="External" /><Relationship Type="http://schemas.openxmlformats.org/officeDocument/2006/relationships/hyperlink" Id="rId158" Target="evidence_index.md" TargetMode="External" /><Relationship Type="http://schemas.openxmlformats.org/officeDocument/2006/relationships/hyperlink" Id="rId61" Target="figures/evidence_pipeline.dot" TargetMode="External" /><Relationship Type="http://schemas.openxmlformats.org/officeDocument/2006/relationships/hyperlink" Id="rId62" Target="figures/evidence_pipeline.svg" TargetMode="External" /><Relationship Type="http://schemas.openxmlformats.org/officeDocument/2006/relationships/hyperlink" Id="rId50" Target="figures/rendszerarchitektura.dot" TargetMode="External" /><Relationship Type="http://schemas.openxmlformats.org/officeDocument/2006/relationships/hyperlink" Id="rId51" Target="figures/rendszerarchitektura.svg" TargetMode="External" /><Relationship Type="http://schemas.openxmlformats.org/officeDocument/2006/relationships/hyperlink" Id="rId150" Target="https://docs.foxglove.dev/docs/getting-started/frameworks/ros2" TargetMode="External" /><Relationship Type="http://schemas.openxmlformats.org/officeDocument/2006/relationships/hyperlink" Id="rId155" Target="https://docs.nvidia.com/tensorrt/" TargetMode="External" /><Relationship Type="http://schemas.openxmlformats.org/officeDocument/2006/relationships/hyperlink" Id="rId148" Target="https://docs.ros.org/en/humble/Concepts/Intermediate/About-Quality-of-Service-Settings.html" TargetMode="External" /><Relationship Type="http://schemas.openxmlformats.org/officeDocument/2006/relationships/hyperlink" Id="rId146" Target="https://docs.ros.org/en/ros2_documentation/rolling/Concepts/Basic/Interfaces-Topics-Services-Actions.html" TargetMode="External" /><Relationship Type="http://schemas.openxmlformats.org/officeDocument/2006/relationships/hyperlink" Id="rId128" Target="https://doi.org/10.1109/CVPR.2012.6248074" TargetMode="External" /><Relationship Type="http://schemas.openxmlformats.org/officeDocument/2006/relationships/hyperlink" Id="rId133" Target="https://doi.org/10.1109/CVPR.2019.01298" TargetMode="External" /><Relationship Type="http://schemas.openxmlformats.org/officeDocument/2006/relationships/hyperlink" Id="rId152" Target="https://doi.org/10.1109/CVPR42600.2020.01164" TargetMode="External" /><Relationship Type="http://schemas.openxmlformats.org/officeDocument/2006/relationships/hyperlink" Id="rId139" Target="https://doi.org/10.1109/CVPR46437.2021.01161" TargetMode="External" /><Relationship Type="http://schemas.openxmlformats.org/officeDocument/2006/relationships/hyperlink" Id="rId136" Target="https://doi.org/10.3390/s18103337" TargetMode="External" /><Relationship Type="http://schemas.openxmlformats.org/officeDocument/2006/relationships/hyperlink" Id="rId144" Target="https://github.com/open-mmlab/mmdetection3d" TargetMode="External" /><Relationship Type="http://schemas.openxmlformats.org/officeDocument/2006/relationships/hyperlink" Id="rId129" Target="https://ieeexplore.ieee.org/document/6248074" TargetMode="External" /><Relationship Type="http://schemas.openxmlformats.org/officeDocument/2006/relationships/hyperlink" Id="rId140" Target="https://openaccess.thecvf.com/content/CVPR2021/html/Yin_Center-Based_3D_Object_Detection_and_Tracking_CVPR_2021_paper.html" TargetMode="External" /><Relationship Type="http://schemas.openxmlformats.org/officeDocument/2006/relationships/hyperlink" Id="rId134" Target="https://openaccess.thecvf.com/content_CVPR_2019/html/Lang_PointPillars_Fast_Encoders_for_Object_Detection_From_Point_Clouds_CVPR_2019_paper.html" TargetMode="External" /><Relationship Type="http://schemas.openxmlformats.org/officeDocument/2006/relationships/hyperlink" Id="rId153" Target="https://openaccess.thecvf.com/content_CVPR_2020/html/Caesar_nuScenes_A_Multimodal_Dataset_for_Autonomous_Driving_CVPR_2020_paper.html" TargetMode="External" /><Relationship Type="http://schemas.openxmlformats.org/officeDocument/2006/relationships/hyperlink" Id="rId142" Target="https://proceedings.neurips.cc/paper_files/paper/2019/hash/bdbca288fee7f92f2bfa9f7012727740-Abstract.html" TargetMode="External" /><Relationship Type="http://schemas.openxmlformats.org/officeDocument/2006/relationships/hyperlink" Id="rId131" Target="https://www.cvlibs.net/datasets/kitti/eval_object.php" TargetMode="External" /><Relationship Type="http://schemas.openxmlformats.org/officeDocument/2006/relationships/hyperlink" Id="rId137" Target="https://www.mdpi.com/1424-8220/18/10/3337" TargetMode="External" /><Relationship Type="http://schemas.openxmlformats.org/officeDocument/2006/relationships/hyperlink" Id="rId160" Target="projektdokumentaci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LiDAR-alapú 3D járműdetektálás CenterPoint architektúrákkal</dc:title>
  <dc:creator>Név: ______________________________</dc:creator>
  <dc:language>hu-HU</dc:language>
  <cp:keywords/>
  <dcterms:created xsi:type="dcterms:W3CDTF">2026-09-04T10:14:23Z</dcterms:created>
  <dcterms:modified xsi:type="dcterms:W3CDTF">2026-09-04T10:14:23Z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/home/ws-rtx/Documents/Projects/lidar-centerpoint/docs/projektdokumentacio/references.bib</vt:lpwstr>
  </property>
  <property fmtid="{D5CDD505-2E9C-101B-9397-08002B2CF9AE}" pid="3" name="csl">
    <vt:lpwstr>/home/ws-rtx/Documents/Projects/lidar-centerpoint/docs/projektdokumentacio/ieee.csl</vt:lpwstr>
  </property>
  <property fmtid="{D5CDD505-2E9C-101B-9397-08002B2CF9AE}" pid="4" name="date">
    <vt:lpwstr>2026. szeptember 4.</vt:lpwstr>
  </property>
  <property fmtid="{D5CDD505-2E9C-101B-9397-08002B2CF9AE}" pid="5" name="subtitle">
    <vt:lpwstr>Műszaki projektdokumentáció</vt:lpwstr>
  </property>
</Properties>
</file>