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845B4" w14:textId="77777777" w:rsidR="00767705" w:rsidRDefault="0052724B">
      <w:r w:rsidRPr="00767705">
        <w:rPr>
          <w:b/>
          <w:bCs/>
          <w:u w:val="single"/>
        </w:rPr>
        <w:t>1</w:t>
      </w:r>
      <w:r w:rsidRPr="00767705">
        <w:rPr>
          <w:b/>
          <w:bCs/>
          <w:u w:val="single"/>
          <w:vertAlign w:val="superscript"/>
        </w:rPr>
        <w:t>er</w:t>
      </w:r>
      <w:r w:rsidRPr="00767705">
        <w:rPr>
          <w:b/>
          <w:bCs/>
          <w:u w:val="single"/>
        </w:rPr>
        <w:t xml:space="preserve"> graphique :</w:t>
      </w:r>
      <w:r>
        <w:t xml:space="preserve"> </w:t>
      </w:r>
    </w:p>
    <w:p w14:paraId="75684842" w14:textId="0971E198" w:rsidR="0052724B" w:rsidRDefault="0052724B">
      <w:r>
        <w:t xml:space="preserve">Ce graphique à courbes présente l’évolution mensuelle du CA par catégorie de septembre 2019 à février 2020 : </w:t>
      </w:r>
    </w:p>
    <w:p w14:paraId="2B279D5F" w14:textId="13769A28" w:rsidR="0052724B" w:rsidRPr="00AB083E" w:rsidRDefault="0052724B">
      <w:pPr>
        <w:rPr>
          <w:b/>
          <w:bCs/>
          <w:color w:val="0070C0"/>
          <w:sz w:val="28"/>
          <w:szCs w:val="28"/>
          <w:u w:val="single"/>
        </w:rPr>
      </w:pPr>
      <w:r w:rsidRPr="00AB083E">
        <w:rPr>
          <w:b/>
          <w:bCs/>
          <w:color w:val="0070C0"/>
          <w:sz w:val="28"/>
          <w:szCs w:val="28"/>
          <w:u w:val="single"/>
        </w:rPr>
        <w:t xml:space="preserve">3 tendances </w:t>
      </w:r>
      <w:r w:rsidR="00E31411">
        <w:rPr>
          <w:b/>
          <w:bCs/>
          <w:color w:val="0070C0"/>
          <w:sz w:val="28"/>
          <w:szCs w:val="28"/>
          <w:u w:val="single"/>
        </w:rPr>
        <w:t>se détachent</w:t>
      </w:r>
      <w:r w:rsidRPr="00AB083E">
        <w:rPr>
          <w:b/>
          <w:bCs/>
          <w:color w:val="0070C0"/>
          <w:sz w:val="28"/>
          <w:szCs w:val="28"/>
          <w:u w:val="single"/>
        </w:rPr>
        <w:t> :</w:t>
      </w:r>
    </w:p>
    <w:p w14:paraId="365E4555" w14:textId="5FF28D8F" w:rsidR="00AB083E" w:rsidRDefault="00AB083E" w:rsidP="00AB083E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Une </w:t>
      </w:r>
      <w:r w:rsidR="00E31411">
        <w:rPr>
          <w:b/>
          <w:bCs/>
          <w:u w:val="single"/>
        </w:rPr>
        <w:t xml:space="preserve">courbe </w:t>
      </w:r>
      <w:r>
        <w:rPr>
          <w:b/>
          <w:bCs/>
          <w:u w:val="single"/>
        </w:rPr>
        <w:t>croissan</w:t>
      </w:r>
      <w:r w:rsidR="00AE2FA6">
        <w:rPr>
          <w:b/>
          <w:bCs/>
          <w:u w:val="single"/>
        </w:rPr>
        <w:t>te</w:t>
      </w:r>
      <w:r>
        <w:rPr>
          <w:b/>
          <w:bCs/>
          <w:u w:val="single"/>
        </w:rPr>
        <w:t xml:space="preserve"> </w:t>
      </w:r>
      <w:r w:rsidR="00E31411">
        <w:rPr>
          <w:b/>
          <w:bCs/>
          <w:u w:val="single"/>
        </w:rPr>
        <w:t xml:space="preserve">et </w:t>
      </w:r>
      <w:r>
        <w:rPr>
          <w:b/>
          <w:bCs/>
          <w:u w:val="single"/>
        </w:rPr>
        <w:t>exponentielle de l’alimentaire</w:t>
      </w:r>
    </w:p>
    <w:p w14:paraId="5C2801A4" w14:textId="1D7F7681" w:rsidR="00AB083E" w:rsidRDefault="00AB083E" w:rsidP="00AB083E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Une </w:t>
      </w:r>
      <w:r w:rsidR="00E31411">
        <w:rPr>
          <w:b/>
          <w:bCs/>
          <w:u w:val="single"/>
        </w:rPr>
        <w:t xml:space="preserve">courbe </w:t>
      </w:r>
      <w:r>
        <w:rPr>
          <w:b/>
          <w:bCs/>
          <w:u w:val="single"/>
        </w:rPr>
        <w:t>stagna</w:t>
      </w:r>
      <w:r w:rsidR="00E31411">
        <w:rPr>
          <w:b/>
          <w:bCs/>
          <w:u w:val="single"/>
        </w:rPr>
        <w:t>nte</w:t>
      </w:r>
      <w:r>
        <w:rPr>
          <w:b/>
          <w:bCs/>
          <w:u w:val="single"/>
        </w:rPr>
        <w:t xml:space="preserve"> des biens de consommation</w:t>
      </w:r>
    </w:p>
    <w:p w14:paraId="37112488" w14:textId="7F3E99B8" w:rsidR="00AB083E" w:rsidRDefault="00AB083E" w:rsidP="00AB083E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>Un</w:t>
      </w:r>
      <w:r w:rsidR="00E31411">
        <w:rPr>
          <w:b/>
          <w:bCs/>
          <w:u w:val="single"/>
        </w:rPr>
        <w:t xml:space="preserve">e courbe déclinante </w:t>
      </w:r>
      <w:r>
        <w:rPr>
          <w:b/>
          <w:bCs/>
          <w:u w:val="single"/>
        </w:rPr>
        <w:t xml:space="preserve">de </w:t>
      </w:r>
      <w:r w:rsidR="00E31411">
        <w:rPr>
          <w:b/>
          <w:bCs/>
          <w:u w:val="single"/>
        </w:rPr>
        <w:t>l’high-tech</w:t>
      </w:r>
    </w:p>
    <w:p w14:paraId="603E11C7" w14:textId="77777777" w:rsidR="00AB083E" w:rsidRPr="00AB083E" w:rsidRDefault="00AB083E" w:rsidP="00AB083E">
      <w:pPr>
        <w:pStyle w:val="Paragraphedeliste"/>
        <w:rPr>
          <w:b/>
          <w:bCs/>
          <w:u w:val="single"/>
        </w:rPr>
      </w:pPr>
    </w:p>
    <w:p w14:paraId="600ABA73" w14:textId="666B7DC9" w:rsidR="00767705" w:rsidRDefault="0052724B" w:rsidP="00AF06B4">
      <w:pPr>
        <w:pStyle w:val="Paragraphedeliste"/>
        <w:numPr>
          <w:ilvl w:val="0"/>
          <w:numId w:val="1"/>
        </w:numPr>
        <w:rPr>
          <w:color w:val="0070C0"/>
        </w:rPr>
      </w:pPr>
      <w:r>
        <w:t>L’alimentaire maintient un CA + élevé que les 2 autres segments</w:t>
      </w:r>
      <w:r w:rsidR="00C20A5D">
        <w:t xml:space="preserve">. </w:t>
      </w:r>
      <w:r w:rsidR="004D5AF4">
        <w:t xml:space="preserve">Alors que la croissance du CA est </w:t>
      </w:r>
      <w:r w:rsidR="00956292">
        <w:t>régulière</w:t>
      </w:r>
      <w:r w:rsidR="004D5AF4">
        <w:t xml:space="preserve"> d’octobre à janvier (+4,2% / mois)</w:t>
      </w:r>
      <w:r w:rsidR="00AB083E">
        <w:t xml:space="preserve">. </w:t>
      </w:r>
      <w:r w:rsidR="00E143CF" w:rsidRPr="00AF06B4">
        <w:rPr>
          <w:color w:val="0070C0"/>
        </w:rPr>
        <w:t>En février</w:t>
      </w:r>
      <w:r w:rsidR="008A2DF5" w:rsidRPr="00AF06B4">
        <w:rPr>
          <w:color w:val="0070C0"/>
        </w:rPr>
        <w:t xml:space="preserve">, </w:t>
      </w:r>
      <w:r w:rsidR="0017675F">
        <w:rPr>
          <w:color w:val="0070C0"/>
        </w:rPr>
        <w:t>le taux de croissance augmente de +</w:t>
      </w:r>
      <w:r w:rsidR="008A2DF5" w:rsidRPr="00AF06B4">
        <w:rPr>
          <w:color w:val="0070C0"/>
        </w:rPr>
        <w:t>3</w:t>
      </w:r>
      <w:r w:rsidR="0017675F">
        <w:rPr>
          <w:color w:val="0070C0"/>
        </w:rPr>
        <w:t>6</w:t>
      </w:r>
      <w:r w:rsidR="00C20A5D" w:rsidRPr="00AF06B4">
        <w:rPr>
          <w:color w:val="0070C0"/>
        </w:rPr>
        <w:t>%</w:t>
      </w:r>
      <w:r w:rsidR="00FA1943" w:rsidRPr="00AF06B4">
        <w:rPr>
          <w:color w:val="0070C0"/>
        </w:rPr>
        <w:t xml:space="preserve">. </w:t>
      </w:r>
    </w:p>
    <w:p w14:paraId="1BA39958" w14:textId="4B240583" w:rsidR="00E31411" w:rsidRDefault="00FA1943" w:rsidP="00767705">
      <w:pPr>
        <w:pStyle w:val="Paragraphedeliste"/>
        <w:rPr>
          <w:color w:val="0070C0"/>
        </w:rPr>
      </w:pPr>
      <w:r w:rsidRPr="00AF06B4">
        <w:rPr>
          <w:color w:val="0070C0"/>
        </w:rPr>
        <w:t>La tendance prévisionnelle présente une linéarité positive et croissan</w:t>
      </w:r>
      <w:r w:rsidR="00767705">
        <w:rPr>
          <w:color w:val="0070C0"/>
        </w:rPr>
        <w:t>t</w:t>
      </w:r>
      <w:r w:rsidRPr="00AF06B4">
        <w:rPr>
          <w:color w:val="0070C0"/>
        </w:rPr>
        <w:t>e</w:t>
      </w:r>
      <w:r w:rsidR="008A2DF5" w:rsidRPr="00AF06B4">
        <w:rPr>
          <w:color w:val="0070C0"/>
        </w:rPr>
        <w:t xml:space="preserve"> pour les prochains mois.</w:t>
      </w:r>
    </w:p>
    <w:p w14:paraId="02840B44" w14:textId="77777777" w:rsidR="00767705" w:rsidRPr="00767705" w:rsidRDefault="00E31411" w:rsidP="00E31411">
      <w:pPr>
        <w:ind w:left="360"/>
        <w:rPr>
          <w:b/>
          <w:bCs/>
          <w:color w:val="000000" w:themeColor="text1"/>
          <w:u w:val="single"/>
        </w:rPr>
      </w:pPr>
      <w:r w:rsidRPr="00767705">
        <w:rPr>
          <w:b/>
          <w:bCs/>
          <w:color w:val="000000" w:themeColor="text1"/>
          <w:u w:val="single"/>
        </w:rPr>
        <w:t>2</w:t>
      </w:r>
      <w:r w:rsidRPr="00767705">
        <w:rPr>
          <w:b/>
          <w:bCs/>
          <w:color w:val="000000" w:themeColor="text1"/>
          <w:u w:val="single"/>
          <w:vertAlign w:val="superscript"/>
        </w:rPr>
        <w:t>ème</w:t>
      </w:r>
      <w:r w:rsidRPr="00767705">
        <w:rPr>
          <w:b/>
          <w:bCs/>
          <w:color w:val="000000" w:themeColor="text1"/>
          <w:u w:val="single"/>
        </w:rPr>
        <w:t xml:space="preserve"> graphique :  </w:t>
      </w:r>
    </w:p>
    <w:p w14:paraId="217E67C2" w14:textId="47EC748A" w:rsidR="00E31411" w:rsidRDefault="00767705" w:rsidP="00E31411">
      <w:pPr>
        <w:ind w:left="360"/>
        <w:rPr>
          <w:color w:val="0070C0"/>
        </w:rPr>
      </w:pPr>
      <w:r>
        <w:rPr>
          <w:color w:val="0070C0"/>
        </w:rPr>
        <w:t xml:space="preserve">Le graphique circulaire présente la part du CA par catégorie de septembre 2019 à </w:t>
      </w:r>
      <w:r w:rsidR="001F4889">
        <w:rPr>
          <w:color w:val="0070C0"/>
        </w:rPr>
        <w:t>février 2020 :</w:t>
      </w:r>
    </w:p>
    <w:p w14:paraId="07A0F687" w14:textId="4BFE3250" w:rsidR="001F4889" w:rsidRDefault="001F4889" w:rsidP="00E31411">
      <w:pPr>
        <w:ind w:left="360"/>
        <w:rPr>
          <w:color w:val="0070C0"/>
        </w:rPr>
      </w:pPr>
      <w:r>
        <w:rPr>
          <w:color w:val="0070C0"/>
        </w:rPr>
        <w:t>+50 % du CA est dû à l’alimentaire</w:t>
      </w:r>
      <w:r w:rsidR="00BB3189">
        <w:rPr>
          <w:color w:val="0070C0"/>
        </w:rPr>
        <w:t xml:space="preserve"> sur 1 semestre </w:t>
      </w:r>
      <w:r w:rsidR="00C2146F">
        <w:rPr>
          <w:color w:val="0070C0"/>
        </w:rPr>
        <w:t>contre 40% de CA annuel pour l’high tech</w:t>
      </w:r>
    </w:p>
    <w:p w14:paraId="52E402D8" w14:textId="10CF3621" w:rsidR="001F4889" w:rsidRDefault="001F4889" w:rsidP="00E31411">
      <w:pPr>
        <w:ind w:left="360"/>
        <w:rPr>
          <w:color w:val="0070C0"/>
        </w:rPr>
      </w:pPr>
      <w:r>
        <w:rPr>
          <w:color w:val="0070C0"/>
        </w:rPr>
        <w:t>Suivi d’assez près par les biens de consommation dont le CA est d’environ 40%</w:t>
      </w:r>
    </w:p>
    <w:p w14:paraId="06CEC480" w14:textId="7BBD3431" w:rsidR="001F4889" w:rsidRDefault="001F4889" w:rsidP="001F4889">
      <w:pPr>
        <w:ind w:firstLine="360"/>
        <w:rPr>
          <w:b/>
          <w:bCs/>
          <w:color w:val="000000" w:themeColor="text1"/>
          <w:u w:val="single"/>
        </w:rPr>
      </w:pPr>
      <w:r w:rsidRPr="001F4889">
        <w:rPr>
          <w:b/>
          <w:bCs/>
          <w:color w:val="000000" w:themeColor="text1"/>
          <w:u w:val="single"/>
        </w:rPr>
        <w:t>3</w:t>
      </w:r>
      <w:r w:rsidRPr="001F4889">
        <w:rPr>
          <w:b/>
          <w:bCs/>
          <w:color w:val="000000" w:themeColor="text1"/>
          <w:u w:val="single"/>
          <w:vertAlign w:val="superscript"/>
        </w:rPr>
        <w:t>ème</w:t>
      </w:r>
      <w:r w:rsidRPr="001F4889">
        <w:rPr>
          <w:b/>
          <w:bCs/>
          <w:color w:val="000000" w:themeColor="text1"/>
          <w:u w:val="single"/>
        </w:rPr>
        <w:t xml:space="preserve"> graphique :</w:t>
      </w:r>
    </w:p>
    <w:p w14:paraId="1CA07B70" w14:textId="77A7713B" w:rsidR="00956292" w:rsidRPr="00956292" w:rsidRDefault="00956292" w:rsidP="001F4889">
      <w:pPr>
        <w:ind w:firstLine="360"/>
        <w:rPr>
          <w:color w:val="000000" w:themeColor="text1"/>
        </w:rPr>
      </w:pPr>
      <w:r w:rsidRPr="00956292">
        <w:rPr>
          <w:color w:val="000000" w:themeColor="text1"/>
        </w:rPr>
        <w:t xml:space="preserve">L’histogramme représente </w:t>
      </w:r>
      <w:r>
        <w:rPr>
          <w:color w:val="000000" w:themeColor="text1"/>
        </w:rPr>
        <w:t>les</w:t>
      </w:r>
      <w:r w:rsidRPr="00956292">
        <w:rPr>
          <w:color w:val="000000" w:themeColor="text1"/>
        </w:rPr>
        <w:t xml:space="preserve"> 10 meilleurs clients par catégorie en février</w:t>
      </w:r>
    </w:p>
    <w:p w14:paraId="15DAED7F" w14:textId="04D1B0AF" w:rsidR="001F4889" w:rsidRPr="00956292" w:rsidRDefault="00956292" w:rsidP="001F4889">
      <w:pPr>
        <w:ind w:firstLine="360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Le montant des paniers </w:t>
      </w:r>
      <w:r w:rsidRPr="00956292">
        <w:rPr>
          <w:b/>
          <w:bCs/>
          <w:color w:val="000000" w:themeColor="text1"/>
        </w:rPr>
        <w:t>pour l’alimentaire</w:t>
      </w:r>
      <w:r>
        <w:rPr>
          <w:color w:val="000000" w:themeColor="text1"/>
        </w:rPr>
        <w:t xml:space="preserve"> varient entre </w:t>
      </w:r>
      <w:r w:rsidR="002D5F62">
        <w:rPr>
          <w:b/>
          <w:bCs/>
          <w:color w:val="000000" w:themeColor="text1"/>
        </w:rPr>
        <w:t xml:space="preserve">500 </w:t>
      </w:r>
      <w:r w:rsidRPr="00956292">
        <w:rPr>
          <w:b/>
          <w:bCs/>
          <w:color w:val="000000" w:themeColor="text1"/>
        </w:rPr>
        <w:t xml:space="preserve"> et 1</w:t>
      </w:r>
      <w:r w:rsidR="002D5F62">
        <w:rPr>
          <w:b/>
          <w:bCs/>
          <w:color w:val="000000" w:themeColor="text1"/>
        </w:rPr>
        <w:t>00</w:t>
      </w:r>
      <w:r w:rsidRPr="00956292">
        <w:rPr>
          <w:b/>
          <w:bCs/>
          <w:color w:val="000000" w:themeColor="text1"/>
        </w:rPr>
        <w:t>0 EUR</w:t>
      </w:r>
      <w:r>
        <w:rPr>
          <w:b/>
          <w:bCs/>
          <w:color w:val="000000" w:themeColor="text1"/>
        </w:rPr>
        <w:t>.</w:t>
      </w:r>
    </w:p>
    <w:p w14:paraId="208D5AF9" w14:textId="2874C4CE" w:rsidR="00956292" w:rsidRPr="00956292" w:rsidRDefault="00956292" w:rsidP="001F4889">
      <w:pPr>
        <w:ind w:firstLine="360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Et pour ceux des </w:t>
      </w:r>
      <w:r w:rsidRPr="00956292">
        <w:rPr>
          <w:b/>
          <w:bCs/>
          <w:color w:val="000000" w:themeColor="text1"/>
        </w:rPr>
        <w:t>biens de consommation</w:t>
      </w:r>
      <w:r>
        <w:rPr>
          <w:color w:val="000000" w:themeColor="text1"/>
        </w:rPr>
        <w:t xml:space="preserve">, ils varient </w:t>
      </w:r>
      <w:r w:rsidRPr="00956292">
        <w:rPr>
          <w:b/>
          <w:bCs/>
          <w:color w:val="000000" w:themeColor="text1"/>
        </w:rPr>
        <w:t xml:space="preserve">entre </w:t>
      </w:r>
      <w:r w:rsidR="000244C0">
        <w:rPr>
          <w:b/>
          <w:bCs/>
          <w:color w:val="000000" w:themeColor="text1"/>
        </w:rPr>
        <w:t>400</w:t>
      </w:r>
      <w:r w:rsidRPr="00956292">
        <w:rPr>
          <w:b/>
          <w:bCs/>
          <w:color w:val="000000" w:themeColor="text1"/>
        </w:rPr>
        <w:t xml:space="preserve"> et </w:t>
      </w:r>
      <w:r w:rsidR="000244C0">
        <w:rPr>
          <w:b/>
          <w:bCs/>
          <w:color w:val="000000" w:themeColor="text1"/>
        </w:rPr>
        <w:t>7</w:t>
      </w:r>
      <w:r w:rsidR="00E938C7">
        <w:rPr>
          <w:b/>
          <w:bCs/>
          <w:color w:val="000000" w:themeColor="text1"/>
        </w:rPr>
        <w:t>00 EUR</w:t>
      </w:r>
    </w:p>
    <w:p w14:paraId="4B6C58A0" w14:textId="3FE9A99C" w:rsidR="001F4889" w:rsidRDefault="00E938C7" w:rsidP="00986C16">
      <w:pPr>
        <w:ind w:left="360"/>
        <w:rPr>
          <w:color w:val="000000" w:themeColor="text1"/>
        </w:rPr>
      </w:pPr>
      <w:r>
        <w:rPr>
          <w:color w:val="000000" w:themeColor="text1"/>
        </w:rPr>
        <w:t>Le montant total d</w:t>
      </w:r>
      <w:r w:rsidR="009214B1">
        <w:rPr>
          <w:color w:val="000000" w:themeColor="text1"/>
        </w:rPr>
        <w:t xml:space="preserve">u panier par mois et pas client </w:t>
      </w:r>
      <w:r w:rsidR="001D123D">
        <w:rPr>
          <w:color w:val="000000" w:themeColor="text1"/>
        </w:rPr>
        <w:t xml:space="preserve">varie entre </w:t>
      </w:r>
      <w:r w:rsidR="00C101D9">
        <w:rPr>
          <w:color w:val="000000" w:themeColor="text1"/>
        </w:rPr>
        <w:t>900 et 1600 EUR.</w:t>
      </w:r>
    </w:p>
    <w:p w14:paraId="304B6377" w14:textId="05119128" w:rsidR="007E4145" w:rsidRPr="00BB4638" w:rsidRDefault="00BB4638" w:rsidP="007E4145">
      <w:pPr>
        <w:ind w:left="360"/>
        <w:rPr>
          <w:b/>
          <w:bCs/>
          <w:color w:val="000000" w:themeColor="text1"/>
          <w:u w:val="single"/>
        </w:rPr>
      </w:pPr>
      <w:r w:rsidRPr="00BB4638">
        <w:rPr>
          <w:b/>
          <w:bCs/>
          <w:color w:val="000000" w:themeColor="text1"/>
          <w:u w:val="single"/>
        </w:rPr>
        <w:t>4</w:t>
      </w:r>
      <w:r w:rsidRPr="00BB4638">
        <w:rPr>
          <w:b/>
          <w:bCs/>
          <w:color w:val="000000" w:themeColor="text1"/>
          <w:u w:val="single"/>
          <w:vertAlign w:val="superscript"/>
        </w:rPr>
        <w:t>ème</w:t>
      </w:r>
      <w:r w:rsidRPr="00BB4638">
        <w:rPr>
          <w:b/>
          <w:bCs/>
          <w:color w:val="000000" w:themeColor="text1"/>
          <w:u w:val="single"/>
        </w:rPr>
        <w:t xml:space="preserve"> graphique :</w:t>
      </w:r>
    </w:p>
    <w:p w14:paraId="591038E8" w14:textId="7087E8ED" w:rsidR="00BB4638" w:rsidRDefault="00067927" w:rsidP="007E4145">
      <w:pPr>
        <w:ind w:left="360"/>
        <w:rPr>
          <w:color w:val="000000" w:themeColor="text1"/>
        </w:rPr>
      </w:pPr>
      <w:r>
        <w:rPr>
          <w:color w:val="000000" w:themeColor="text1"/>
        </w:rPr>
        <w:t>En février, l</w:t>
      </w:r>
      <w:r w:rsidR="00BB4638">
        <w:rPr>
          <w:color w:val="000000" w:themeColor="text1"/>
        </w:rPr>
        <w:t xml:space="preserve">’alimentaire représente </w:t>
      </w:r>
      <w:r w:rsidR="005B2866">
        <w:rPr>
          <w:color w:val="000000" w:themeColor="text1"/>
        </w:rPr>
        <w:t>63% de notre CA</w:t>
      </w:r>
      <w:r>
        <w:rPr>
          <w:color w:val="000000" w:themeColor="text1"/>
        </w:rPr>
        <w:t xml:space="preserve"> pour les clients affiliés.</w:t>
      </w:r>
      <w:r w:rsidR="00045EF7">
        <w:rPr>
          <w:color w:val="000000" w:themeColor="text1"/>
        </w:rPr>
        <w:t xml:space="preserve"> On constate que l’alimentaire prend le dessus </w:t>
      </w:r>
      <w:r w:rsidR="00FE40C5">
        <w:rPr>
          <w:color w:val="000000" w:themeColor="text1"/>
        </w:rPr>
        <w:t xml:space="preserve">par rapport aux biens de consommation. </w:t>
      </w:r>
    </w:p>
    <w:p w14:paraId="3B3DD672" w14:textId="7F4F1421" w:rsidR="000D27B0" w:rsidRDefault="000D27B0" w:rsidP="007E4145">
      <w:pPr>
        <w:ind w:left="360"/>
        <w:rPr>
          <w:color w:val="000000" w:themeColor="text1"/>
        </w:rPr>
      </w:pPr>
      <w:r>
        <w:rPr>
          <w:color w:val="000000" w:themeColor="text1"/>
        </w:rPr>
        <w:t>Mini conclusion :</w:t>
      </w:r>
    </w:p>
    <w:p w14:paraId="399E4ECD" w14:textId="77777777" w:rsidR="006518F1" w:rsidRPr="00855E8C" w:rsidRDefault="006518F1" w:rsidP="006518F1">
      <w:pPr>
        <w:pStyle w:val="Paragraphedeliste"/>
        <w:numPr>
          <w:ilvl w:val="0"/>
          <w:numId w:val="4"/>
        </w:numPr>
        <w:rPr>
          <w:b/>
          <w:bCs/>
          <w:color w:val="00B050"/>
        </w:rPr>
      </w:pPr>
      <w:r w:rsidRPr="00855E8C">
        <w:rPr>
          <w:b/>
          <w:bCs/>
          <w:color w:val="00B050"/>
        </w:rPr>
        <w:t>Le budget de l’alimentaire par foyer est très conséquent et occupe une place prioritaire et prépondérante, loin devant les autres dépenses.</w:t>
      </w:r>
    </w:p>
    <w:p w14:paraId="0941DCC7" w14:textId="77777777" w:rsidR="006518F1" w:rsidRPr="000D27B0" w:rsidRDefault="006518F1" w:rsidP="006518F1">
      <w:pPr>
        <w:pStyle w:val="Paragraphedeliste"/>
        <w:numPr>
          <w:ilvl w:val="0"/>
          <w:numId w:val="4"/>
        </w:numPr>
        <w:rPr>
          <w:color w:val="000000" w:themeColor="text1"/>
        </w:rPr>
      </w:pPr>
      <w:r>
        <w:rPr>
          <w:color w:val="00B050"/>
        </w:rPr>
        <w:t>Plus le montant du panier est élevé, plus la durée passé sur le site web est élevée</w:t>
      </w:r>
    </w:p>
    <w:p w14:paraId="5A12AD91" w14:textId="2157037A" w:rsidR="000D27B0" w:rsidRPr="007E4145" w:rsidRDefault="000D27B0" w:rsidP="006518F1">
      <w:pPr>
        <w:pStyle w:val="Paragraphedeliste"/>
        <w:numPr>
          <w:ilvl w:val="0"/>
          <w:numId w:val="4"/>
        </w:numPr>
        <w:rPr>
          <w:color w:val="000000" w:themeColor="text1"/>
        </w:rPr>
      </w:pPr>
      <w:r>
        <w:rPr>
          <w:color w:val="00B050"/>
        </w:rPr>
        <w:t>L</w:t>
      </w:r>
      <w:r w:rsidR="00C83FAB">
        <w:rPr>
          <w:color w:val="00B050"/>
        </w:rPr>
        <w:t xml:space="preserve">’évolution du </w:t>
      </w:r>
      <w:r>
        <w:rPr>
          <w:color w:val="00B050"/>
        </w:rPr>
        <w:t>CA d</w:t>
      </w:r>
      <w:r w:rsidR="00C83FAB">
        <w:rPr>
          <w:color w:val="00B050"/>
        </w:rPr>
        <w:t xml:space="preserve">u segment de </w:t>
      </w:r>
      <w:r>
        <w:rPr>
          <w:color w:val="00B050"/>
        </w:rPr>
        <w:t xml:space="preserve">l’alimentaire </w:t>
      </w:r>
      <w:r w:rsidR="00DD084F">
        <w:rPr>
          <w:color w:val="00B050"/>
        </w:rPr>
        <w:t xml:space="preserve">est </w:t>
      </w:r>
      <w:r w:rsidR="005E56FC">
        <w:rPr>
          <w:color w:val="00B050"/>
        </w:rPr>
        <w:t>croissante et actuellement exponentielle</w:t>
      </w:r>
    </w:p>
    <w:p w14:paraId="009E10E3" w14:textId="47BAC984" w:rsidR="00395CDD" w:rsidRPr="003F5D67" w:rsidRDefault="00D21D34" w:rsidP="00986C16">
      <w:pPr>
        <w:ind w:left="36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Une </w:t>
      </w:r>
      <w:r w:rsidR="00395CDD" w:rsidRPr="003F5D67">
        <w:rPr>
          <w:b/>
          <w:bCs/>
          <w:color w:val="000000" w:themeColor="text1"/>
        </w:rPr>
        <w:t xml:space="preserve">segmentation </w:t>
      </w:r>
      <w:r w:rsidR="00FF773D">
        <w:rPr>
          <w:b/>
          <w:bCs/>
          <w:color w:val="000000" w:themeColor="text1"/>
        </w:rPr>
        <w:t xml:space="preserve">de la base client </w:t>
      </w:r>
      <w:r w:rsidR="00ED1842" w:rsidRPr="003F5D67">
        <w:rPr>
          <w:b/>
          <w:bCs/>
          <w:color w:val="000000" w:themeColor="text1"/>
        </w:rPr>
        <w:t>nous permettra de :</w:t>
      </w:r>
    </w:p>
    <w:p w14:paraId="63B99CD5" w14:textId="16E8153E" w:rsidR="00ED1842" w:rsidRDefault="00ED1842" w:rsidP="00ED1842">
      <w:pPr>
        <w:pStyle w:val="Paragraphedeliste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Mieux connaitre </w:t>
      </w:r>
      <w:r w:rsidR="00091721">
        <w:rPr>
          <w:color w:val="000000" w:themeColor="text1"/>
        </w:rPr>
        <w:t>nos</w:t>
      </w:r>
      <w:r>
        <w:rPr>
          <w:color w:val="000000" w:themeColor="text1"/>
        </w:rPr>
        <w:t xml:space="preserve"> clients</w:t>
      </w:r>
      <w:r w:rsidR="00091721">
        <w:rPr>
          <w:color w:val="000000" w:themeColor="text1"/>
        </w:rPr>
        <w:t xml:space="preserve"> et</w:t>
      </w:r>
      <w:r w:rsidR="00553B06">
        <w:rPr>
          <w:color w:val="000000" w:themeColor="text1"/>
        </w:rPr>
        <w:t xml:space="preserve"> d’</w:t>
      </w:r>
      <w:r w:rsidR="00091721">
        <w:rPr>
          <w:color w:val="000000" w:themeColor="text1"/>
        </w:rPr>
        <w:t>identifier leurs attentes</w:t>
      </w:r>
    </w:p>
    <w:p w14:paraId="5E26E020" w14:textId="69950319" w:rsidR="00ED1842" w:rsidRDefault="00ED1842" w:rsidP="00ED1842">
      <w:pPr>
        <w:pStyle w:val="Paragraphedeliste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D’adapter nos offres </w:t>
      </w:r>
      <w:r w:rsidR="00F15618">
        <w:rPr>
          <w:color w:val="000000" w:themeColor="text1"/>
        </w:rPr>
        <w:t xml:space="preserve">à </w:t>
      </w:r>
      <w:r w:rsidR="00D122D3">
        <w:rPr>
          <w:color w:val="000000" w:themeColor="text1"/>
        </w:rPr>
        <w:t>leurs</w:t>
      </w:r>
      <w:r w:rsidR="00F15618">
        <w:rPr>
          <w:color w:val="000000" w:themeColor="text1"/>
        </w:rPr>
        <w:t xml:space="preserve"> besoins</w:t>
      </w:r>
    </w:p>
    <w:p w14:paraId="5869E8DB" w14:textId="1FD9B7E2" w:rsidR="00F15618" w:rsidRDefault="00F15618" w:rsidP="00ED1842">
      <w:pPr>
        <w:pStyle w:val="Paragraphedeliste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Fidéliser l</w:t>
      </w:r>
      <w:r w:rsidR="00FD38F0">
        <w:rPr>
          <w:color w:val="000000" w:themeColor="text1"/>
        </w:rPr>
        <w:t>a clientèle</w:t>
      </w:r>
    </w:p>
    <w:p w14:paraId="76ADA6FF" w14:textId="0321CE7A" w:rsidR="00FC7056" w:rsidRDefault="00C45ACC" w:rsidP="00ED1842">
      <w:pPr>
        <w:pStyle w:val="Paragraphedeliste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Fournir</w:t>
      </w:r>
      <w:r w:rsidR="00FC7056">
        <w:rPr>
          <w:color w:val="000000" w:themeColor="text1"/>
        </w:rPr>
        <w:t xml:space="preserve"> la meilleure expérience </w:t>
      </w:r>
      <w:r w:rsidR="003F5D67">
        <w:rPr>
          <w:color w:val="000000" w:themeColor="text1"/>
        </w:rPr>
        <w:t>à l’utilisateur</w:t>
      </w:r>
    </w:p>
    <w:p w14:paraId="7536FFE1" w14:textId="77777777" w:rsidR="003F5D67" w:rsidRPr="003F5D67" w:rsidRDefault="003F5D67" w:rsidP="003F5D67">
      <w:pPr>
        <w:ind w:left="720"/>
        <w:rPr>
          <w:color w:val="000000" w:themeColor="text1"/>
        </w:rPr>
      </w:pPr>
    </w:p>
    <w:sectPr w:rsidR="003F5D67" w:rsidRPr="003F5D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D2721"/>
    <w:multiLevelType w:val="hybridMultilevel"/>
    <w:tmpl w:val="ADF4EBE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01526"/>
    <w:multiLevelType w:val="hybridMultilevel"/>
    <w:tmpl w:val="481E31D4"/>
    <w:lvl w:ilvl="0" w:tplc="352658BA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367BD"/>
    <w:multiLevelType w:val="hybridMultilevel"/>
    <w:tmpl w:val="B2C4848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C70CA2"/>
    <w:multiLevelType w:val="hybridMultilevel"/>
    <w:tmpl w:val="C8003B2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44113555">
    <w:abstractNumId w:val="2"/>
  </w:num>
  <w:num w:numId="2" w16cid:durableId="499660086">
    <w:abstractNumId w:val="0"/>
  </w:num>
  <w:num w:numId="3" w16cid:durableId="1921062197">
    <w:abstractNumId w:val="3"/>
  </w:num>
  <w:num w:numId="4" w16cid:durableId="20076339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24B"/>
    <w:rsid w:val="000244C0"/>
    <w:rsid w:val="00045EF7"/>
    <w:rsid w:val="00067927"/>
    <w:rsid w:val="00091721"/>
    <w:rsid w:val="000D27B0"/>
    <w:rsid w:val="000D4B58"/>
    <w:rsid w:val="000E0A2A"/>
    <w:rsid w:val="0017675F"/>
    <w:rsid w:val="001D123D"/>
    <w:rsid w:val="001F403D"/>
    <w:rsid w:val="001F4889"/>
    <w:rsid w:val="00222FE7"/>
    <w:rsid w:val="00227F78"/>
    <w:rsid w:val="00245E36"/>
    <w:rsid w:val="0026440A"/>
    <w:rsid w:val="002B738D"/>
    <w:rsid w:val="002D5F62"/>
    <w:rsid w:val="00304813"/>
    <w:rsid w:val="00335A1D"/>
    <w:rsid w:val="00395CDD"/>
    <w:rsid w:val="003F5D67"/>
    <w:rsid w:val="0044482A"/>
    <w:rsid w:val="00445B9D"/>
    <w:rsid w:val="00461A71"/>
    <w:rsid w:val="004A62C8"/>
    <w:rsid w:val="004D5AF4"/>
    <w:rsid w:val="00503004"/>
    <w:rsid w:val="0052724B"/>
    <w:rsid w:val="00553B06"/>
    <w:rsid w:val="005B2866"/>
    <w:rsid w:val="005E56FC"/>
    <w:rsid w:val="00622BA8"/>
    <w:rsid w:val="006518F1"/>
    <w:rsid w:val="00767705"/>
    <w:rsid w:val="007C5B98"/>
    <w:rsid w:val="007E4145"/>
    <w:rsid w:val="00855E8C"/>
    <w:rsid w:val="008A2DF5"/>
    <w:rsid w:val="009214B1"/>
    <w:rsid w:val="00956292"/>
    <w:rsid w:val="00986C16"/>
    <w:rsid w:val="009954B3"/>
    <w:rsid w:val="009B7A7D"/>
    <w:rsid w:val="00A10FDB"/>
    <w:rsid w:val="00A606D4"/>
    <w:rsid w:val="00A77131"/>
    <w:rsid w:val="00AB083E"/>
    <w:rsid w:val="00AE2FA6"/>
    <w:rsid w:val="00AF06B4"/>
    <w:rsid w:val="00B63434"/>
    <w:rsid w:val="00BB3189"/>
    <w:rsid w:val="00BB4638"/>
    <w:rsid w:val="00C101D9"/>
    <w:rsid w:val="00C20A5D"/>
    <w:rsid w:val="00C2146F"/>
    <w:rsid w:val="00C45ACC"/>
    <w:rsid w:val="00C6351A"/>
    <w:rsid w:val="00C83FAB"/>
    <w:rsid w:val="00CC3D31"/>
    <w:rsid w:val="00D122D3"/>
    <w:rsid w:val="00D21D34"/>
    <w:rsid w:val="00D357A9"/>
    <w:rsid w:val="00DC0780"/>
    <w:rsid w:val="00DC1F16"/>
    <w:rsid w:val="00DD084F"/>
    <w:rsid w:val="00E143CF"/>
    <w:rsid w:val="00E31411"/>
    <w:rsid w:val="00E3542A"/>
    <w:rsid w:val="00E600CF"/>
    <w:rsid w:val="00E938C7"/>
    <w:rsid w:val="00ED1842"/>
    <w:rsid w:val="00F034D0"/>
    <w:rsid w:val="00F04933"/>
    <w:rsid w:val="00F15618"/>
    <w:rsid w:val="00FA1943"/>
    <w:rsid w:val="00FC0545"/>
    <w:rsid w:val="00FC7056"/>
    <w:rsid w:val="00FD38F0"/>
    <w:rsid w:val="00FE40C5"/>
    <w:rsid w:val="00FF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44E16"/>
  <w15:docId w15:val="{C92CF146-1687-4258-A898-01949D870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72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1893</TotalTime>
  <Pages>1</Pages>
  <Words>297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Naziha BOUSSEMAHA</dc:creator>
  <cp:keywords/>
  <dc:description/>
  <cp:lastModifiedBy>Naziha BOUSSEMAHA</cp:lastModifiedBy>
  <cp:revision>62</cp:revision>
  <dcterms:created xsi:type="dcterms:W3CDTF">2023-05-30T12:53:00Z</dcterms:created>
  <dcterms:modified xsi:type="dcterms:W3CDTF">2023-06-01T14:57:00Z</dcterms:modified>
</cp:coreProperties>
</file>