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7278D" w14:textId="63D00A68" w:rsidR="007D5AF3" w:rsidRPr="00034062" w:rsidRDefault="00000000" w:rsidP="00034062">
      <w:pPr>
        <w:spacing w:line="360" w:lineRule="auto"/>
        <w:jc w:val="center"/>
        <w:rPr>
          <w:color w:val="000000"/>
          <w:sz w:val="32"/>
          <w:szCs w:val="32"/>
        </w:rPr>
      </w:pPr>
      <w:r w:rsidRPr="00034062">
        <w:rPr>
          <w:color w:val="000000"/>
          <w:sz w:val="32"/>
          <w:szCs w:val="32"/>
        </w:rPr>
        <w:t>University of Warsaw</w:t>
      </w:r>
    </w:p>
    <w:p w14:paraId="21F50A91" w14:textId="77777777" w:rsidR="007D5AF3" w:rsidRPr="00034062" w:rsidRDefault="00000000" w:rsidP="00034062">
      <w:pPr>
        <w:spacing w:line="360" w:lineRule="auto"/>
        <w:jc w:val="center"/>
        <w:rPr>
          <w:color w:val="000000"/>
          <w:sz w:val="32"/>
          <w:szCs w:val="32"/>
        </w:rPr>
      </w:pPr>
      <w:r w:rsidRPr="00034062">
        <w:rPr>
          <w:color w:val="000000"/>
          <w:sz w:val="32"/>
          <w:szCs w:val="32"/>
        </w:rPr>
        <w:t>Faculty of Economic Sciences</w:t>
      </w:r>
    </w:p>
    <w:p w14:paraId="50A314F2" w14:textId="77777777" w:rsidR="007D5AF3" w:rsidRDefault="007D5AF3" w:rsidP="00034062">
      <w:pPr>
        <w:spacing w:line="360" w:lineRule="auto"/>
        <w:jc w:val="center"/>
        <w:rPr>
          <w:color w:val="000000"/>
          <w:sz w:val="30"/>
          <w:szCs w:val="30"/>
        </w:rPr>
      </w:pPr>
    </w:p>
    <w:p w14:paraId="1939AC19" w14:textId="77777777" w:rsidR="00034062" w:rsidRDefault="00034062" w:rsidP="00034062">
      <w:pPr>
        <w:spacing w:line="360" w:lineRule="auto"/>
        <w:jc w:val="center"/>
        <w:rPr>
          <w:color w:val="000000"/>
          <w:sz w:val="30"/>
          <w:szCs w:val="30"/>
        </w:rPr>
      </w:pPr>
    </w:p>
    <w:p w14:paraId="6A7C7F7F" w14:textId="77777777" w:rsidR="007D5AF3" w:rsidRDefault="00000000" w:rsidP="00034062">
      <w:pPr>
        <w:spacing w:line="360" w:lineRule="auto"/>
        <w:jc w:val="center"/>
        <w:rPr>
          <w:sz w:val="32"/>
          <w:szCs w:val="32"/>
        </w:rPr>
      </w:pPr>
      <w:r>
        <w:rPr>
          <w:b/>
          <w:sz w:val="32"/>
          <w:szCs w:val="32"/>
        </w:rPr>
        <w:t>Working Paper</w:t>
      </w:r>
    </w:p>
    <w:p w14:paraId="45341157" w14:textId="77777777" w:rsidR="007D5AF3" w:rsidRDefault="007D5AF3" w:rsidP="00034062">
      <w:pPr>
        <w:spacing w:line="360" w:lineRule="auto"/>
        <w:jc w:val="center"/>
        <w:rPr>
          <w:b/>
        </w:rPr>
      </w:pPr>
    </w:p>
    <w:p w14:paraId="1B7625A5" w14:textId="77777777" w:rsidR="00034062" w:rsidRDefault="00034062" w:rsidP="00034062">
      <w:pPr>
        <w:spacing w:line="360" w:lineRule="auto"/>
        <w:jc w:val="center"/>
        <w:rPr>
          <w:b/>
        </w:rPr>
      </w:pPr>
    </w:p>
    <w:p w14:paraId="798A0726" w14:textId="77777777" w:rsidR="007D5AF3" w:rsidRDefault="00000000" w:rsidP="00034062">
      <w:pPr>
        <w:spacing w:line="360" w:lineRule="auto"/>
        <w:jc w:val="center"/>
        <w:rPr>
          <w:sz w:val="40"/>
          <w:szCs w:val="40"/>
        </w:rPr>
      </w:pPr>
      <w:r>
        <w:rPr>
          <w:b/>
          <w:sz w:val="40"/>
          <w:szCs w:val="40"/>
        </w:rPr>
        <w:t>Drivers of the level of Covid-19 vaccination in Poland</w:t>
      </w:r>
    </w:p>
    <w:p w14:paraId="46525617" w14:textId="77777777" w:rsidR="007D5AF3" w:rsidRPr="00034062" w:rsidRDefault="00000000" w:rsidP="00034062">
      <w:pPr>
        <w:spacing w:line="360" w:lineRule="auto"/>
        <w:jc w:val="center"/>
        <w:rPr>
          <w:color w:val="000000"/>
          <w:sz w:val="32"/>
          <w:szCs w:val="32"/>
        </w:rPr>
      </w:pPr>
      <w:r w:rsidRPr="00034062">
        <w:rPr>
          <w:color w:val="000000"/>
          <w:sz w:val="32"/>
          <w:szCs w:val="32"/>
        </w:rPr>
        <w:t>Warsaw Econometric Challenge</w:t>
      </w:r>
    </w:p>
    <w:p w14:paraId="5FBD846C" w14:textId="77777777" w:rsidR="007D5AF3" w:rsidRDefault="007D5AF3">
      <w:pPr>
        <w:spacing w:line="360" w:lineRule="auto"/>
        <w:jc w:val="both"/>
      </w:pPr>
    </w:p>
    <w:p w14:paraId="048E1BCC" w14:textId="77777777" w:rsidR="007D5AF3" w:rsidRDefault="007D5AF3">
      <w:pPr>
        <w:spacing w:line="360" w:lineRule="auto"/>
        <w:jc w:val="both"/>
      </w:pPr>
    </w:p>
    <w:p w14:paraId="1F130C82" w14:textId="77777777" w:rsidR="00034062" w:rsidRDefault="00034062">
      <w:pPr>
        <w:spacing w:line="360" w:lineRule="auto"/>
        <w:jc w:val="both"/>
      </w:pPr>
    </w:p>
    <w:p w14:paraId="26EA2826" w14:textId="77777777" w:rsidR="00034062" w:rsidRDefault="00034062">
      <w:pPr>
        <w:spacing w:line="360" w:lineRule="auto"/>
        <w:jc w:val="both"/>
      </w:pPr>
    </w:p>
    <w:p w14:paraId="765B78D1" w14:textId="77777777" w:rsidR="00034062" w:rsidRDefault="00034062">
      <w:pPr>
        <w:spacing w:line="360" w:lineRule="auto"/>
        <w:jc w:val="both"/>
      </w:pPr>
    </w:p>
    <w:p w14:paraId="0C9589CE" w14:textId="77777777" w:rsidR="00034062" w:rsidRDefault="00034062">
      <w:pPr>
        <w:spacing w:line="360" w:lineRule="auto"/>
        <w:jc w:val="both"/>
      </w:pPr>
    </w:p>
    <w:p w14:paraId="5ACD1E8D" w14:textId="6ABDD79E" w:rsidR="007D5AF3" w:rsidRDefault="00034062">
      <w:pPr>
        <w:spacing w:line="360" w:lineRule="auto"/>
        <w:jc w:val="both"/>
        <w:rPr>
          <w:i/>
        </w:rPr>
      </w:pPr>
      <w:r>
        <w:rPr>
          <w:i/>
        </w:rPr>
        <w:t>P</w:t>
      </w:r>
      <w:r w:rsidR="00000000">
        <w:rPr>
          <w:i/>
        </w:rPr>
        <w:t>resented by:</w:t>
      </w:r>
    </w:p>
    <w:p w14:paraId="0440BBAB" w14:textId="77777777" w:rsidR="00FE67AE" w:rsidRDefault="00FE67AE" w:rsidP="00FE67AE">
      <w:pPr>
        <w:spacing w:line="360" w:lineRule="auto"/>
        <w:jc w:val="both"/>
      </w:pPr>
      <w:r>
        <w:t>Nhan Nguyen – University of Warsaw</w:t>
      </w:r>
    </w:p>
    <w:p w14:paraId="0A19DEF8" w14:textId="3F70FF0A" w:rsidR="007D5AF3" w:rsidRDefault="00000000">
      <w:pPr>
        <w:spacing w:line="360" w:lineRule="auto"/>
        <w:jc w:val="both"/>
      </w:pPr>
      <w:r>
        <w:t>Nhu Ho</w:t>
      </w:r>
      <w:r w:rsidR="00034062">
        <w:t xml:space="preserve"> – University of Warsaw</w:t>
      </w:r>
    </w:p>
    <w:p w14:paraId="0917B6FE" w14:textId="77777777" w:rsidR="00FE67AE" w:rsidRDefault="00FE67AE" w:rsidP="00FE67AE">
      <w:pPr>
        <w:spacing w:line="360" w:lineRule="auto"/>
        <w:jc w:val="both"/>
      </w:pPr>
      <w:r>
        <w:t>Tung Le – University of Warsaw</w:t>
      </w:r>
    </w:p>
    <w:p w14:paraId="1D8B781C" w14:textId="49FF8275" w:rsidR="007D5AF3" w:rsidRDefault="00000000">
      <w:pPr>
        <w:spacing w:line="360" w:lineRule="auto"/>
        <w:jc w:val="both"/>
      </w:pPr>
      <w:r>
        <w:t>Cuong Vo</w:t>
      </w:r>
      <w:r w:rsidR="00034062">
        <w:t xml:space="preserve"> – Warsaw School of Economics</w:t>
      </w:r>
    </w:p>
    <w:p w14:paraId="229DAD26" w14:textId="77777777" w:rsidR="007D5AF3" w:rsidRDefault="007D5AF3">
      <w:pPr>
        <w:spacing w:line="360" w:lineRule="auto"/>
        <w:jc w:val="center"/>
      </w:pPr>
    </w:p>
    <w:p w14:paraId="16085C2E" w14:textId="77777777" w:rsidR="007D5AF3" w:rsidRDefault="007D5AF3">
      <w:pPr>
        <w:spacing w:line="360" w:lineRule="auto"/>
        <w:jc w:val="center"/>
      </w:pPr>
    </w:p>
    <w:p w14:paraId="77BFA5C7" w14:textId="77777777" w:rsidR="007D5AF3" w:rsidRDefault="007D5AF3">
      <w:pPr>
        <w:spacing w:line="360" w:lineRule="auto"/>
        <w:jc w:val="center"/>
      </w:pPr>
    </w:p>
    <w:p w14:paraId="0E47B3EA" w14:textId="77777777" w:rsidR="007D5AF3" w:rsidRDefault="007D5AF3">
      <w:pPr>
        <w:spacing w:line="360" w:lineRule="auto"/>
        <w:jc w:val="center"/>
      </w:pPr>
    </w:p>
    <w:p w14:paraId="6FCDCBC8" w14:textId="77777777" w:rsidR="007D5AF3" w:rsidRDefault="007D5AF3">
      <w:pPr>
        <w:spacing w:line="360" w:lineRule="auto"/>
        <w:jc w:val="center"/>
      </w:pPr>
    </w:p>
    <w:p w14:paraId="450FA534" w14:textId="77777777" w:rsidR="007D5AF3" w:rsidRDefault="007D5AF3">
      <w:pPr>
        <w:spacing w:line="360" w:lineRule="auto"/>
        <w:jc w:val="center"/>
      </w:pPr>
    </w:p>
    <w:p w14:paraId="044184F3" w14:textId="77777777" w:rsidR="007D5AF3" w:rsidRDefault="00000000">
      <w:pPr>
        <w:spacing w:line="360" w:lineRule="auto"/>
        <w:jc w:val="center"/>
        <w:rPr>
          <w:color w:val="000000"/>
        </w:rPr>
      </w:pPr>
      <w:r>
        <w:rPr>
          <w:color w:val="000000"/>
          <w:sz w:val="32"/>
          <w:szCs w:val="32"/>
        </w:rPr>
        <w:t>Warsaw, May 2024</w:t>
      </w:r>
      <w:r>
        <w:br w:type="page"/>
      </w:r>
    </w:p>
    <w:p w14:paraId="60961593" w14:textId="77777777" w:rsidR="007D5AF3" w:rsidRPr="00034062" w:rsidRDefault="00000000" w:rsidP="00134D79">
      <w:pPr>
        <w:pStyle w:val="Heading1"/>
        <w:rPr>
          <w:rFonts w:eastAsia="Times New Roman"/>
          <w:b w:val="0"/>
        </w:rPr>
      </w:pPr>
      <w:bookmarkStart w:id="0" w:name="_heading=h.gjdgxs" w:colFirst="0" w:colLast="0"/>
      <w:bookmarkStart w:id="1" w:name="_Toc166417709"/>
      <w:bookmarkEnd w:id="0"/>
      <w:r w:rsidRPr="00034062">
        <w:rPr>
          <w:rFonts w:eastAsia="Times New Roman"/>
        </w:rPr>
        <w:lastRenderedPageBreak/>
        <w:t>Summary</w:t>
      </w:r>
      <w:bookmarkEnd w:id="1"/>
    </w:p>
    <w:p w14:paraId="78C68430" w14:textId="77777777" w:rsidR="007D5AF3" w:rsidRDefault="007D5AF3"/>
    <w:p w14:paraId="72CA12D4" w14:textId="77777777" w:rsidR="007D5AF3" w:rsidRDefault="00000000" w:rsidP="00034062">
      <w:pPr>
        <w:spacing w:line="360" w:lineRule="auto"/>
        <w:jc w:val="both"/>
        <w:rPr>
          <w:color w:val="000000"/>
        </w:rPr>
      </w:pPr>
      <w:r>
        <w:rPr>
          <w:color w:val="000000"/>
        </w:rPr>
        <w:t xml:space="preserve">This research aims to analyze the drivers of the level of COVID-19 vaccination in Poland. The research </w:t>
      </w:r>
      <w:r>
        <w:t>investigates</w:t>
      </w:r>
      <w:r>
        <w:rPr>
          <w:color w:val="000000"/>
        </w:rPr>
        <w:t xml:space="preserve"> the impact of various reasons on the </w:t>
      </w:r>
      <w:r>
        <w:t>decision</w:t>
      </w:r>
      <w:r>
        <w:rPr>
          <w:color w:val="000000"/>
        </w:rPr>
        <w:t xml:space="preserve"> of whether or not taking the </w:t>
      </w:r>
      <w:r>
        <w:t>vaccination</w:t>
      </w:r>
      <w:r>
        <w:rPr>
          <w:color w:val="000000"/>
        </w:rPr>
        <w:t xml:space="preserve"> from the perspective of the citizen. It asks the three main questions</w:t>
      </w:r>
      <w:r>
        <w:t xml:space="preserve"> about the covid strategies aspects: w</w:t>
      </w:r>
      <w:r>
        <w:rPr>
          <w:color w:val="000000"/>
        </w:rPr>
        <w:t>hether the size of municipalities/cities matter</w:t>
      </w:r>
      <w:r>
        <w:t xml:space="preserve">, </w:t>
      </w:r>
      <w:r>
        <w:rPr>
          <w:color w:val="000000"/>
        </w:rPr>
        <w:t>whether the division between eastern and western Poland makes a difference</w:t>
      </w:r>
      <w:r>
        <w:t xml:space="preserve"> and i</w:t>
      </w:r>
      <w:r>
        <w:rPr>
          <w:color w:val="000000"/>
        </w:rPr>
        <w:t xml:space="preserve">s there any variation in vaccination rates among different age </w:t>
      </w:r>
      <w:r>
        <w:t>groups? Following the data provided by the Faculty of Economic and Sciences, the authors try to answer these questions thoroughly.</w:t>
      </w:r>
    </w:p>
    <w:p w14:paraId="4D4156B6" w14:textId="77777777" w:rsidR="007D5AF3" w:rsidRDefault="007D5AF3">
      <w:pPr>
        <w:spacing w:line="360" w:lineRule="auto"/>
        <w:rPr>
          <w:color w:val="000000"/>
        </w:rPr>
      </w:pPr>
    </w:p>
    <w:p w14:paraId="5EA85C28" w14:textId="77777777" w:rsidR="007D5AF3" w:rsidRDefault="007D5AF3">
      <w:pPr>
        <w:spacing w:line="360" w:lineRule="auto"/>
        <w:rPr>
          <w:color w:val="000000"/>
        </w:rPr>
      </w:pPr>
    </w:p>
    <w:p w14:paraId="7BE454C7" w14:textId="77777777" w:rsidR="007D5AF3" w:rsidRDefault="007D5AF3">
      <w:pPr>
        <w:spacing w:line="360" w:lineRule="auto"/>
        <w:rPr>
          <w:color w:val="000000"/>
        </w:rPr>
      </w:pPr>
    </w:p>
    <w:p w14:paraId="019545DE" w14:textId="71C1773D" w:rsidR="007D5AF3" w:rsidRPr="00134D79" w:rsidRDefault="00034062" w:rsidP="00134D79">
      <w:pPr>
        <w:pStyle w:val="Heading1"/>
        <w:spacing w:line="480" w:lineRule="auto"/>
        <w:rPr>
          <w:rFonts w:eastAsia="Times New Roman"/>
        </w:rPr>
      </w:pPr>
      <w:bookmarkStart w:id="2" w:name="_Toc166417710"/>
      <w:r w:rsidRPr="00134D79">
        <w:rPr>
          <w:rFonts w:eastAsia="Times New Roman"/>
        </w:rPr>
        <w:t>Abstract</w:t>
      </w:r>
      <w:bookmarkEnd w:id="2"/>
    </w:p>
    <w:p w14:paraId="56A5F498" w14:textId="77777777" w:rsidR="007D5AF3" w:rsidRDefault="00000000" w:rsidP="00034062">
      <w:pPr>
        <w:spacing w:line="360" w:lineRule="auto"/>
        <w:jc w:val="both"/>
      </w:pPr>
      <w:r>
        <w:t>This study looks at the factors impacting COVID-19 vaccination rates in Poland, with an emphasis on municipality/city size, geographical inequalities, and age group differences. The study uses data from the Faculty of Economics and Sciences to give insights into citizens' vaccination decision-making processes. The findings indicate that, while municipality/city size and regional inequalities may not be solely responsible for vaccination rates, socioeconomic variables and neighborhood impacts play important roles. Overall, the study stresses the complexity of the factors that influence vaccination behavior and the significance of focused measures for improving vaccine uptake and effectively combating the pandemic in Poland.</w:t>
      </w:r>
    </w:p>
    <w:p w14:paraId="3F4545C2" w14:textId="65345B47" w:rsidR="00134D79" w:rsidRDefault="00134D79" w:rsidP="00034062">
      <w:pPr>
        <w:spacing w:line="360" w:lineRule="auto"/>
        <w:jc w:val="both"/>
      </w:pPr>
    </w:p>
    <w:p w14:paraId="249EAC8E" w14:textId="77777777" w:rsidR="00134D79" w:rsidRDefault="00134D79">
      <w:r>
        <w:br w:type="page"/>
      </w:r>
    </w:p>
    <w:sdt>
      <w:sdtPr>
        <w:id w:val="2009942504"/>
        <w:docPartObj>
          <w:docPartGallery w:val="Table of Contents"/>
          <w:docPartUnique/>
        </w:docPartObj>
      </w:sdtPr>
      <w:sdtEndPr>
        <w:rPr>
          <w:rFonts w:eastAsia="Times New Roman" w:cs="Times New Roman"/>
          <w:bCs/>
          <w:noProof/>
          <w:sz w:val="24"/>
          <w:szCs w:val="24"/>
          <w:lang w:eastAsia="en-GB"/>
        </w:rPr>
      </w:sdtEndPr>
      <w:sdtContent>
        <w:p w14:paraId="2229B680" w14:textId="46CCDA7E" w:rsidR="0038580A" w:rsidRPr="0038580A" w:rsidRDefault="0038580A">
          <w:pPr>
            <w:pStyle w:val="TOCHeading"/>
          </w:pPr>
          <w:r w:rsidRPr="0038580A">
            <w:t>Table of Contents</w:t>
          </w:r>
        </w:p>
        <w:p w14:paraId="1F0DA918" w14:textId="5865B09F" w:rsidR="00C00B42" w:rsidRDefault="0038580A">
          <w:pPr>
            <w:pStyle w:val="TOC1"/>
            <w:tabs>
              <w:tab w:val="right" w:leader="dot" w:pos="9350"/>
            </w:tabs>
            <w:rPr>
              <w:rFonts w:asciiTheme="minorHAnsi" w:eastAsiaTheme="minorEastAsia" w:hAnsiTheme="minorHAnsi" w:cstheme="minorBidi"/>
              <w:noProof/>
              <w:kern w:val="2"/>
              <w:lang w:eastAsia="en-US"/>
              <w14:ligatures w14:val="standardContextual"/>
            </w:rPr>
          </w:pPr>
          <w:r w:rsidRPr="0038580A">
            <w:fldChar w:fldCharType="begin"/>
          </w:r>
          <w:r w:rsidRPr="0038580A">
            <w:instrText xml:space="preserve"> TOC \o "1-3" \h \z \u </w:instrText>
          </w:r>
          <w:r w:rsidRPr="0038580A">
            <w:fldChar w:fldCharType="separate"/>
          </w:r>
          <w:hyperlink w:anchor="_Toc166417709" w:history="1">
            <w:r w:rsidR="00C00B42" w:rsidRPr="004E1CF1">
              <w:rPr>
                <w:rStyle w:val="Hyperlink"/>
                <w:noProof/>
              </w:rPr>
              <w:t>Summary</w:t>
            </w:r>
            <w:r w:rsidR="00C00B42">
              <w:rPr>
                <w:noProof/>
                <w:webHidden/>
              </w:rPr>
              <w:tab/>
            </w:r>
            <w:r w:rsidR="00C00B42">
              <w:rPr>
                <w:noProof/>
                <w:webHidden/>
              </w:rPr>
              <w:fldChar w:fldCharType="begin"/>
            </w:r>
            <w:r w:rsidR="00C00B42">
              <w:rPr>
                <w:noProof/>
                <w:webHidden/>
              </w:rPr>
              <w:instrText xml:space="preserve"> PAGEREF _Toc166417709 \h </w:instrText>
            </w:r>
            <w:r w:rsidR="00C00B42">
              <w:rPr>
                <w:noProof/>
                <w:webHidden/>
              </w:rPr>
            </w:r>
            <w:r w:rsidR="00C00B42">
              <w:rPr>
                <w:noProof/>
                <w:webHidden/>
              </w:rPr>
              <w:fldChar w:fldCharType="separate"/>
            </w:r>
            <w:r w:rsidR="00C00B42">
              <w:rPr>
                <w:noProof/>
                <w:webHidden/>
              </w:rPr>
              <w:t>2</w:t>
            </w:r>
            <w:r w:rsidR="00C00B42">
              <w:rPr>
                <w:noProof/>
                <w:webHidden/>
              </w:rPr>
              <w:fldChar w:fldCharType="end"/>
            </w:r>
          </w:hyperlink>
        </w:p>
        <w:p w14:paraId="6A1CAF65" w14:textId="220B98A5" w:rsidR="00C00B42" w:rsidRDefault="00C00B42">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6417710" w:history="1">
            <w:r w:rsidRPr="004E1CF1">
              <w:rPr>
                <w:rStyle w:val="Hyperlink"/>
                <w:noProof/>
              </w:rPr>
              <w:t>Abstract</w:t>
            </w:r>
            <w:r>
              <w:rPr>
                <w:noProof/>
                <w:webHidden/>
              </w:rPr>
              <w:tab/>
            </w:r>
            <w:r>
              <w:rPr>
                <w:noProof/>
                <w:webHidden/>
              </w:rPr>
              <w:fldChar w:fldCharType="begin"/>
            </w:r>
            <w:r>
              <w:rPr>
                <w:noProof/>
                <w:webHidden/>
              </w:rPr>
              <w:instrText xml:space="preserve"> PAGEREF _Toc166417710 \h </w:instrText>
            </w:r>
            <w:r>
              <w:rPr>
                <w:noProof/>
                <w:webHidden/>
              </w:rPr>
            </w:r>
            <w:r>
              <w:rPr>
                <w:noProof/>
                <w:webHidden/>
              </w:rPr>
              <w:fldChar w:fldCharType="separate"/>
            </w:r>
            <w:r>
              <w:rPr>
                <w:noProof/>
                <w:webHidden/>
              </w:rPr>
              <w:t>2</w:t>
            </w:r>
            <w:r>
              <w:rPr>
                <w:noProof/>
                <w:webHidden/>
              </w:rPr>
              <w:fldChar w:fldCharType="end"/>
            </w:r>
          </w:hyperlink>
        </w:p>
        <w:p w14:paraId="69819FF0" w14:textId="5CD8CB11" w:rsidR="00C00B42" w:rsidRDefault="00C00B42">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6417711" w:history="1">
            <w:r w:rsidRPr="004E1CF1">
              <w:rPr>
                <w:rStyle w:val="Hyperlink"/>
                <w:noProof/>
              </w:rPr>
              <w:t>Introduction</w:t>
            </w:r>
            <w:r>
              <w:rPr>
                <w:noProof/>
                <w:webHidden/>
              </w:rPr>
              <w:tab/>
            </w:r>
            <w:r>
              <w:rPr>
                <w:noProof/>
                <w:webHidden/>
              </w:rPr>
              <w:fldChar w:fldCharType="begin"/>
            </w:r>
            <w:r>
              <w:rPr>
                <w:noProof/>
                <w:webHidden/>
              </w:rPr>
              <w:instrText xml:space="preserve"> PAGEREF _Toc166417711 \h </w:instrText>
            </w:r>
            <w:r>
              <w:rPr>
                <w:noProof/>
                <w:webHidden/>
              </w:rPr>
            </w:r>
            <w:r>
              <w:rPr>
                <w:noProof/>
                <w:webHidden/>
              </w:rPr>
              <w:fldChar w:fldCharType="separate"/>
            </w:r>
            <w:r>
              <w:rPr>
                <w:noProof/>
                <w:webHidden/>
              </w:rPr>
              <w:t>4</w:t>
            </w:r>
            <w:r>
              <w:rPr>
                <w:noProof/>
                <w:webHidden/>
              </w:rPr>
              <w:fldChar w:fldCharType="end"/>
            </w:r>
          </w:hyperlink>
        </w:p>
        <w:p w14:paraId="2CE1A9C2" w14:textId="07F6BAD7" w:rsidR="00C00B42" w:rsidRDefault="00C00B42">
          <w:pPr>
            <w:pStyle w:val="TOC2"/>
            <w:tabs>
              <w:tab w:val="left" w:pos="720"/>
              <w:tab w:val="right" w:leader="dot" w:pos="9350"/>
            </w:tabs>
            <w:rPr>
              <w:rFonts w:asciiTheme="minorHAnsi" w:eastAsiaTheme="minorEastAsia" w:hAnsiTheme="minorHAnsi" w:cstheme="minorBidi"/>
              <w:noProof/>
              <w:kern w:val="2"/>
              <w:lang w:eastAsia="en-US"/>
              <w14:ligatures w14:val="standardContextual"/>
            </w:rPr>
          </w:pPr>
          <w:hyperlink w:anchor="_Toc166417712" w:history="1">
            <w:r w:rsidRPr="004E1CF1">
              <w:rPr>
                <w:rStyle w:val="Hyperlink"/>
                <w:bCs/>
                <w:noProof/>
              </w:rPr>
              <w:t>1.</w:t>
            </w:r>
            <w:r>
              <w:rPr>
                <w:rFonts w:asciiTheme="minorHAnsi" w:eastAsiaTheme="minorEastAsia" w:hAnsiTheme="minorHAnsi" w:cstheme="minorBidi"/>
                <w:noProof/>
                <w:kern w:val="2"/>
                <w:lang w:eastAsia="en-US"/>
                <w14:ligatures w14:val="standardContextual"/>
              </w:rPr>
              <w:tab/>
            </w:r>
            <w:r w:rsidRPr="004E1CF1">
              <w:rPr>
                <w:rStyle w:val="Hyperlink"/>
                <w:noProof/>
              </w:rPr>
              <w:t>Literature Review: Sociodemographic Factors Influencing COVID-19 Vaccination Rates</w:t>
            </w:r>
            <w:r>
              <w:rPr>
                <w:noProof/>
                <w:webHidden/>
              </w:rPr>
              <w:tab/>
            </w:r>
            <w:r>
              <w:rPr>
                <w:noProof/>
                <w:webHidden/>
              </w:rPr>
              <w:fldChar w:fldCharType="begin"/>
            </w:r>
            <w:r>
              <w:rPr>
                <w:noProof/>
                <w:webHidden/>
              </w:rPr>
              <w:instrText xml:space="preserve"> PAGEREF _Toc166417712 \h </w:instrText>
            </w:r>
            <w:r>
              <w:rPr>
                <w:noProof/>
                <w:webHidden/>
              </w:rPr>
            </w:r>
            <w:r>
              <w:rPr>
                <w:noProof/>
                <w:webHidden/>
              </w:rPr>
              <w:fldChar w:fldCharType="separate"/>
            </w:r>
            <w:r>
              <w:rPr>
                <w:noProof/>
                <w:webHidden/>
              </w:rPr>
              <w:t>5</w:t>
            </w:r>
            <w:r>
              <w:rPr>
                <w:noProof/>
                <w:webHidden/>
              </w:rPr>
              <w:fldChar w:fldCharType="end"/>
            </w:r>
          </w:hyperlink>
        </w:p>
        <w:p w14:paraId="683A3CB5" w14:textId="4F9C4BE3"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13" w:history="1">
            <w:r w:rsidRPr="004E1CF1">
              <w:rPr>
                <w:rStyle w:val="Hyperlink"/>
                <w:bCs/>
                <w:noProof/>
              </w:rPr>
              <w:t>1.1.</w:t>
            </w:r>
            <w:r>
              <w:rPr>
                <w:rFonts w:asciiTheme="minorHAnsi" w:eastAsiaTheme="minorEastAsia" w:hAnsiTheme="minorHAnsi" w:cstheme="minorBidi"/>
                <w:noProof/>
                <w:kern w:val="2"/>
                <w:lang w:eastAsia="en-US"/>
                <w14:ligatures w14:val="standardContextual"/>
              </w:rPr>
              <w:tab/>
            </w:r>
            <w:r w:rsidRPr="004E1CF1">
              <w:rPr>
                <w:rStyle w:val="Hyperlink"/>
                <w:noProof/>
              </w:rPr>
              <w:t>Urbanization</w:t>
            </w:r>
            <w:r>
              <w:rPr>
                <w:noProof/>
                <w:webHidden/>
              </w:rPr>
              <w:tab/>
            </w:r>
            <w:r>
              <w:rPr>
                <w:noProof/>
                <w:webHidden/>
              </w:rPr>
              <w:fldChar w:fldCharType="begin"/>
            </w:r>
            <w:r>
              <w:rPr>
                <w:noProof/>
                <w:webHidden/>
              </w:rPr>
              <w:instrText xml:space="preserve"> PAGEREF _Toc166417713 \h </w:instrText>
            </w:r>
            <w:r>
              <w:rPr>
                <w:noProof/>
                <w:webHidden/>
              </w:rPr>
            </w:r>
            <w:r>
              <w:rPr>
                <w:noProof/>
                <w:webHidden/>
              </w:rPr>
              <w:fldChar w:fldCharType="separate"/>
            </w:r>
            <w:r>
              <w:rPr>
                <w:noProof/>
                <w:webHidden/>
              </w:rPr>
              <w:t>5</w:t>
            </w:r>
            <w:r>
              <w:rPr>
                <w:noProof/>
                <w:webHidden/>
              </w:rPr>
              <w:fldChar w:fldCharType="end"/>
            </w:r>
          </w:hyperlink>
        </w:p>
        <w:p w14:paraId="1D37E5AA" w14:textId="2FBC2C24"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14" w:history="1">
            <w:r w:rsidRPr="004E1CF1">
              <w:rPr>
                <w:rStyle w:val="Hyperlink"/>
                <w:bCs/>
                <w:noProof/>
              </w:rPr>
              <w:t>1.2.</w:t>
            </w:r>
            <w:r>
              <w:rPr>
                <w:rFonts w:asciiTheme="minorHAnsi" w:eastAsiaTheme="minorEastAsia" w:hAnsiTheme="minorHAnsi" w:cstheme="minorBidi"/>
                <w:noProof/>
                <w:kern w:val="2"/>
                <w:lang w:eastAsia="en-US"/>
                <w14:ligatures w14:val="standardContextual"/>
              </w:rPr>
              <w:tab/>
            </w:r>
            <w:r w:rsidRPr="004E1CF1">
              <w:rPr>
                <w:rStyle w:val="Hyperlink"/>
                <w:noProof/>
              </w:rPr>
              <w:t>Regional Disparities</w:t>
            </w:r>
            <w:r>
              <w:rPr>
                <w:noProof/>
                <w:webHidden/>
              </w:rPr>
              <w:tab/>
            </w:r>
            <w:r>
              <w:rPr>
                <w:noProof/>
                <w:webHidden/>
              </w:rPr>
              <w:fldChar w:fldCharType="begin"/>
            </w:r>
            <w:r>
              <w:rPr>
                <w:noProof/>
                <w:webHidden/>
              </w:rPr>
              <w:instrText xml:space="preserve"> PAGEREF _Toc166417714 \h </w:instrText>
            </w:r>
            <w:r>
              <w:rPr>
                <w:noProof/>
                <w:webHidden/>
              </w:rPr>
            </w:r>
            <w:r>
              <w:rPr>
                <w:noProof/>
                <w:webHidden/>
              </w:rPr>
              <w:fldChar w:fldCharType="separate"/>
            </w:r>
            <w:r>
              <w:rPr>
                <w:noProof/>
                <w:webHidden/>
              </w:rPr>
              <w:t>5</w:t>
            </w:r>
            <w:r>
              <w:rPr>
                <w:noProof/>
                <w:webHidden/>
              </w:rPr>
              <w:fldChar w:fldCharType="end"/>
            </w:r>
          </w:hyperlink>
        </w:p>
        <w:p w14:paraId="0472728B" w14:textId="5EB6E47E"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15" w:history="1">
            <w:r w:rsidRPr="004E1CF1">
              <w:rPr>
                <w:rStyle w:val="Hyperlink"/>
                <w:bCs/>
                <w:noProof/>
              </w:rPr>
              <w:t>1.3.</w:t>
            </w:r>
            <w:r>
              <w:rPr>
                <w:rFonts w:asciiTheme="minorHAnsi" w:eastAsiaTheme="minorEastAsia" w:hAnsiTheme="minorHAnsi" w:cstheme="minorBidi"/>
                <w:noProof/>
                <w:kern w:val="2"/>
                <w:lang w:eastAsia="en-US"/>
                <w14:ligatures w14:val="standardContextual"/>
              </w:rPr>
              <w:tab/>
            </w:r>
            <w:r w:rsidRPr="004E1CF1">
              <w:rPr>
                <w:rStyle w:val="Hyperlink"/>
                <w:noProof/>
              </w:rPr>
              <w:t>Age Groups:</w:t>
            </w:r>
            <w:r>
              <w:rPr>
                <w:noProof/>
                <w:webHidden/>
              </w:rPr>
              <w:tab/>
            </w:r>
            <w:r>
              <w:rPr>
                <w:noProof/>
                <w:webHidden/>
              </w:rPr>
              <w:fldChar w:fldCharType="begin"/>
            </w:r>
            <w:r>
              <w:rPr>
                <w:noProof/>
                <w:webHidden/>
              </w:rPr>
              <w:instrText xml:space="preserve"> PAGEREF _Toc166417715 \h </w:instrText>
            </w:r>
            <w:r>
              <w:rPr>
                <w:noProof/>
                <w:webHidden/>
              </w:rPr>
            </w:r>
            <w:r>
              <w:rPr>
                <w:noProof/>
                <w:webHidden/>
              </w:rPr>
              <w:fldChar w:fldCharType="separate"/>
            </w:r>
            <w:r>
              <w:rPr>
                <w:noProof/>
                <w:webHidden/>
              </w:rPr>
              <w:t>6</w:t>
            </w:r>
            <w:r>
              <w:rPr>
                <w:noProof/>
                <w:webHidden/>
              </w:rPr>
              <w:fldChar w:fldCharType="end"/>
            </w:r>
          </w:hyperlink>
        </w:p>
        <w:p w14:paraId="35A0F26C" w14:textId="62E8D1A8"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16" w:history="1">
            <w:r w:rsidRPr="004E1CF1">
              <w:rPr>
                <w:rStyle w:val="Hyperlink"/>
                <w:bCs/>
                <w:noProof/>
              </w:rPr>
              <w:t>1.4.</w:t>
            </w:r>
            <w:r>
              <w:rPr>
                <w:rFonts w:asciiTheme="minorHAnsi" w:eastAsiaTheme="minorEastAsia" w:hAnsiTheme="minorHAnsi" w:cstheme="minorBidi"/>
                <w:noProof/>
                <w:kern w:val="2"/>
                <w:lang w:eastAsia="en-US"/>
                <w14:ligatures w14:val="standardContextual"/>
              </w:rPr>
              <w:tab/>
            </w:r>
            <w:r w:rsidRPr="004E1CF1">
              <w:rPr>
                <w:rStyle w:val="Hyperlink"/>
                <w:noProof/>
              </w:rPr>
              <w:t>Neighborhood Effect on Vaccination Behavior</w:t>
            </w:r>
            <w:r>
              <w:rPr>
                <w:noProof/>
                <w:webHidden/>
              </w:rPr>
              <w:tab/>
            </w:r>
            <w:r>
              <w:rPr>
                <w:noProof/>
                <w:webHidden/>
              </w:rPr>
              <w:fldChar w:fldCharType="begin"/>
            </w:r>
            <w:r>
              <w:rPr>
                <w:noProof/>
                <w:webHidden/>
              </w:rPr>
              <w:instrText xml:space="preserve"> PAGEREF _Toc166417716 \h </w:instrText>
            </w:r>
            <w:r>
              <w:rPr>
                <w:noProof/>
                <w:webHidden/>
              </w:rPr>
            </w:r>
            <w:r>
              <w:rPr>
                <w:noProof/>
                <w:webHidden/>
              </w:rPr>
              <w:fldChar w:fldCharType="separate"/>
            </w:r>
            <w:r>
              <w:rPr>
                <w:noProof/>
                <w:webHidden/>
              </w:rPr>
              <w:t>7</w:t>
            </w:r>
            <w:r>
              <w:rPr>
                <w:noProof/>
                <w:webHidden/>
              </w:rPr>
              <w:fldChar w:fldCharType="end"/>
            </w:r>
          </w:hyperlink>
        </w:p>
        <w:p w14:paraId="7A80EE5A" w14:textId="02F2346C" w:rsidR="00C00B42" w:rsidRDefault="00C00B42">
          <w:pPr>
            <w:pStyle w:val="TOC2"/>
            <w:tabs>
              <w:tab w:val="left" w:pos="720"/>
              <w:tab w:val="right" w:leader="dot" w:pos="9350"/>
            </w:tabs>
            <w:rPr>
              <w:rFonts w:asciiTheme="minorHAnsi" w:eastAsiaTheme="minorEastAsia" w:hAnsiTheme="minorHAnsi" w:cstheme="minorBidi"/>
              <w:noProof/>
              <w:kern w:val="2"/>
              <w:lang w:eastAsia="en-US"/>
              <w14:ligatures w14:val="standardContextual"/>
            </w:rPr>
          </w:pPr>
          <w:hyperlink w:anchor="_Toc166417717" w:history="1">
            <w:r w:rsidRPr="004E1CF1">
              <w:rPr>
                <w:rStyle w:val="Hyperlink"/>
                <w:bCs/>
                <w:noProof/>
              </w:rPr>
              <w:t>2.</w:t>
            </w:r>
            <w:r>
              <w:rPr>
                <w:rFonts w:asciiTheme="minorHAnsi" w:eastAsiaTheme="minorEastAsia" w:hAnsiTheme="minorHAnsi" w:cstheme="minorBidi"/>
                <w:noProof/>
                <w:kern w:val="2"/>
                <w:lang w:eastAsia="en-US"/>
                <w14:ligatures w14:val="standardContextual"/>
              </w:rPr>
              <w:tab/>
            </w:r>
            <w:r w:rsidRPr="004E1CF1">
              <w:rPr>
                <w:rStyle w:val="Hyperlink"/>
                <w:bCs/>
                <w:noProof/>
              </w:rPr>
              <w:t>Methodology</w:t>
            </w:r>
            <w:r>
              <w:rPr>
                <w:noProof/>
                <w:webHidden/>
              </w:rPr>
              <w:tab/>
            </w:r>
            <w:r>
              <w:rPr>
                <w:noProof/>
                <w:webHidden/>
              </w:rPr>
              <w:fldChar w:fldCharType="begin"/>
            </w:r>
            <w:r>
              <w:rPr>
                <w:noProof/>
                <w:webHidden/>
              </w:rPr>
              <w:instrText xml:space="preserve"> PAGEREF _Toc166417717 \h </w:instrText>
            </w:r>
            <w:r>
              <w:rPr>
                <w:noProof/>
                <w:webHidden/>
              </w:rPr>
            </w:r>
            <w:r>
              <w:rPr>
                <w:noProof/>
                <w:webHidden/>
              </w:rPr>
              <w:fldChar w:fldCharType="separate"/>
            </w:r>
            <w:r>
              <w:rPr>
                <w:noProof/>
                <w:webHidden/>
              </w:rPr>
              <w:t>7</w:t>
            </w:r>
            <w:r>
              <w:rPr>
                <w:noProof/>
                <w:webHidden/>
              </w:rPr>
              <w:fldChar w:fldCharType="end"/>
            </w:r>
          </w:hyperlink>
        </w:p>
        <w:p w14:paraId="3F44D9B9" w14:textId="224A9E01"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18" w:history="1">
            <w:r w:rsidRPr="004E1CF1">
              <w:rPr>
                <w:rStyle w:val="Hyperlink"/>
                <w:bCs/>
                <w:noProof/>
              </w:rPr>
              <w:t>2.1.</w:t>
            </w:r>
            <w:r>
              <w:rPr>
                <w:rFonts w:asciiTheme="minorHAnsi" w:eastAsiaTheme="minorEastAsia" w:hAnsiTheme="minorHAnsi" w:cstheme="minorBidi"/>
                <w:noProof/>
                <w:kern w:val="2"/>
                <w:lang w:eastAsia="en-US"/>
                <w14:ligatures w14:val="standardContextual"/>
              </w:rPr>
              <w:tab/>
            </w:r>
            <w:r w:rsidRPr="004E1CF1">
              <w:rPr>
                <w:rStyle w:val="Hyperlink"/>
                <w:bCs/>
                <w:noProof/>
              </w:rPr>
              <w:t>Correlation</w:t>
            </w:r>
            <w:r>
              <w:rPr>
                <w:noProof/>
                <w:webHidden/>
              </w:rPr>
              <w:tab/>
            </w:r>
            <w:r>
              <w:rPr>
                <w:noProof/>
                <w:webHidden/>
              </w:rPr>
              <w:fldChar w:fldCharType="begin"/>
            </w:r>
            <w:r>
              <w:rPr>
                <w:noProof/>
                <w:webHidden/>
              </w:rPr>
              <w:instrText xml:space="preserve"> PAGEREF _Toc166417718 \h </w:instrText>
            </w:r>
            <w:r>
              <w:rPr>
                <w:noProof/>
                <w:webHidden/>
              </w:rPr>
            </w:r>
            <w:r>
              <w:rPr>
                <w:noProof/>
                <w:webHidden/>
              </w:rPr>
              <w:fldChar w:fldCharType="separate"/>
            </w:r>
            <w:r>
              <w:rPr>
                <w:noProof/>
                <w:webHidden/>
              </w:rPr>
              <w:t>7</w:t>
            </w:r>
            <w:r>
              <w:rPr>
                <w:noProof/>
                <w:webHidden/>
              </w:rPr>
              <w:fldChar w:fldCharType="end"/>
            </w:r>
          </w:hyperlink>
        </w:p>
        <w:p w14:paraId="4F615EC1" w14:textId="439C69F8"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19" w:history="1">
            <w:r w:rsidRPr="004E1CF1">
              <w:rPr>
                <w:rStyle w:val="Hyperlink"/>
                <w:bCs/>
                <w:noProof/>
              </w:rPr>
              <w:t>2.2.</w:t>
            </w:r>
            <w:r>
              <w:rPr>
                <w:rFonts w:asciiTheme="minorHAnsi" w:eastAsiaTheme="minorEastAsia" w:hAnsiTheme="minorHAnsi" w:cstheme="minorBidi"/>
                <w:noProof/>
                <w:kern w:val="2"/>
                <w:lang w:eastAsia="en-US"/>
                <w14:ligatures w14:val="standardContextual"/>
              </w:rPr>
              <w:tab/>
            </w:r>
            <w:r w:rsidRPr="004E1CF1">
              <w:rPr>
                <w:rStyle w:val="Hyperlink"/>
                <w:bCs/>
                <w:noProof/>
              </w:rPr>
              <w:t>Linear regression</w:t>
            </w:r>
            <w:r>
              <w:rPr>
                <w:noProof/>
                <w:webHidden/>
              </w:rPr>
              <w:tab/>
            </w:r>
            <w:r>
              <w:rPr>
                <w:noProof/>
                <w:webHidden/>
              </w:rPr>
              <w:fldChar w:fldCharType="begin"/>
            </w:r>
            <w:r>
              <w:rPr>
                <w:noProof/>
                <w:webHidden/>
              </w:rPr>
              <w:instrText xml:space="preserve"> PAGEREF _Toc166417719 \h </w:instrText>
            </w:r>
            <w:r>
              <w:rPr>
                <w:noProof/>
                <w:webHidden/>
              </w:rPr>
            </w:r>
            <w:r>
              <w:rPr>
                <w:noProof/>
                <w:webHidden/>
              </w:rPr>
              <w:fldChar w:fldCharType="separate"/>
            </w:r>
            <w:r>
              <w:rPr>
                <w:noProof/>
                <w:webHidden/>
              </w:rPr>
              <w:t>8</w:t>
            </w:r>
            <w:r>
              <w:rPr>
                <w:noProof/>
                <w:webHidden/>
              </w:rPr>
              <w:fldChar w:fldCharType="end"/>
            </w:r>
          </w:hyperlink>
        </w:p>
        <w:p w14:paraId="657CF611" w14:textId="5FBD49E4" w:rsidR="00C00B42" w:rsidRDefault="00C00B42">
          <w:pPr>
            <w:pStyle w:val="TOC2"/>
            <w:tabs>
              <w:tab w:val="left" w:pos="720"/>
              <w:tab w:val="right" w:leader="dot" w:pos="9350"/>
            </w:tabs>
            <w:rPr>
              <w:rFonts w:asciiTheme="minorHAnsi" w:eastAsiaTheme="minorEastAsia" w:hAnsiTheme="minorHAnsi" w:cstheme="minorBidi"/>
              <w:noProof/>
              <w:kern w:val="2"/>
              <w:lang w:eastAsia="en-US"/>
              <w14:ligatures w14:val="standardContextual"/>
            </w:rPr>
          </w:pPr>
          <w:hyperlink w:anchor="_Toc166417720" w:history="1">
            <w:r w:rsidRPr="004E1CF1">
              <w:rPr>
                <w:rStyle w:val="Hyperlink"/>
                <w:bCs/>
                <w:noProof/>
              </w:rPr>
              <w:t>3.</w:t>
            </w:r>
            <w:r>
              <w:rPr>
                <w:rFonts w:asciiTheme="minorHAnsi" w:eastAsiaTheme="minorEastAsia" w:hAnsiTheme="minorHAnsi" w:cstheme="minorBidi"/>
                <w:noProof/>
                <w:kern w:val="2"/>
                <w:lang w:eastAsia="en-US"/>
                <w14:ligatures w14:val="standardContextual"/>
              </w:rPr>
              <w:tab/>
            </w:r>
            <w:r w:rsidRPr="004E1CF1">
              <w:rPr>
                <w:rStyle w:val="Hyperlink"/>
                <w:bCs/>
                <w:noProof/>
              </w:rPr>
              <w:t>Data</w:t>
            </w:r>
            <w:r>
              <w:rPr>
                <w:noProof/>
                <w:webHidden/>
              </w:rPr>
              <w:tab/>
            </w:r>
            <w:r>
              <w:rPr>
                <w:noProof/>
                <w:webHidden/>
              </w:rPr>
              <w:fldChar w:fldCharType="begin"/>
            </w:r>
            <w:r>
              <w:rPr>
                <w:noProof/>
                <w:webHidden/>
              </w:rPr>
              <w:instrText xml:space="preserve"> PAGEREF _Toc166417720 \h </w:instrText>
            </w:r>
            <w:r>
              <w:rPr>
                <w:noProof/>
                <w:webHidden/>
              </w:rPr>
            </w:r>
            <w:r>
              <w:rPr>
                <w:noProof/>
                <w:webHidden/>
              </w:rPr>
              <w:fldChar w:fldCharType="separate"/>
            </w:r>
            <w:r>
              <w:rPr>
                <w:noProof/>
                <w:webHidden/>
              </w:rPr>
              <w:t>8</w:t>
            </w:r>
            <w:r>
              <w:rPr>
                <w:noProof/>
                <w:webHidden/>
              </w:rPr>
              <w:fldChar w:fldCharType="end"/>
            </w:r>
          </w:hyperlink>
        </w:p>
        <w:p w14:paraId="05F8CFDB" w14:textId="4EB4BE09" w:rsidR="00C00B42" w:rsidRDefault="00C00B42">
          <w:pPr>
            <w:pStyle w:val="TOC2"/>
            <w:tabs>
              <w:tab w:val="left" w:pos="720"/>
              <w:tab w:val="right" w:leader="dot" w:pos="9350"/>
            </w:tabs>
            <w:rPr>
              <w:rFonts w:asciiTheme="minorHAnsi" w:eastAsiaTheme="minorEastAsia" w:hAnsiTheme="minorHAnsi" w:cstheme="minorBidi"/>
              <w:noProof/>
              <w:kern w:val="2"/>
              <w:lang w:eastAsia="en-US"/>
              <w14:ligatures w14:val="standardContextual"/>
            </w:rPr>
          </w:pPr>
          <w:hyperlink w:anchor="_Toc166417721" w:history="1">
            <w:r w:rsidRPr="004E1CF1">
              <w:rPr>
                <w:rStyle w:val="Hyperlink"/>
                <w:bCs/>
                <w:noProof/>
              </w:rPr>
              <w:t>4.</w:t>
            </w:r>
            <w:r>
              <w:rPr>
                <w:rFonts w:asciiTheme="minorHAnsi" w:eastAsiaTheme="minorEastAsia" w:hAnsiTheme="minorHAnsi" w:cstheme="minorBidi"/>
                <w:noProof/>
                <w:kern w:val="2"/>
                <w:lang w:eastAsia="en-US"/>
                <w14:ligatures w14:val="standardContextual"/>
              </w:rPr>
              <w:tab/>
            </w:r>
            <w:r w:rsidRPr="004E1CF1">
              <w:rPr>
                <w:rStyle w:val="Hyperlink"/>
                <w:bCs/>
                <w:noProof/>
              </w:rPr>
              <w:t>Results</w:t>
            </w:r>
            <w:r>
              <w:rPr>
                <w:noProof/>
                <w:webHidden/>
              </w:rPr>
              <w:tab/>
            </w:r>
            <w:r>
              <w:rPr>
                <w:noProof/>
                <w:webHidden/>
              </w:rPr>
              <w:fldChar w:fldCharType="begin"/>
            </w:r>
            <w:r>
              <w:rPr>
                <w:noProof/>
                <w:webHidden/>
              </w:rPr>
              <w:instrText xml:space="preserve"> PAGEREF _Toc166417721 \h </w:instrText>
            </w:r>
            <w:r>
              <w:rPr>
                <w:noProof/>
                <w:webHidden/>
              </w:rPr>
            </w:r>
            <w:r>
              <w:rPr>
                <w:noProof/>
                <w:webHidden/>
              </w:rPr>
              <w:fldChar w:fldCharType="separate"/>
            </w:r>
            <w:r>
              <w:rPr>
                <w:noProof/>
                <w:webHidden/>
              </w:rPr>
              <w:t>8</w:t>
            </w:r>
            <w:r>
              <w:rPr>
                <w:noProof/>
                <w:webHidden/>
              </w:rPr>
              <w:fldChar w:fldCharType="end"/>
            </w:r>
          </w:hyperlink>
        </w:p>
        <w:p w14:paraId="354ACAB1" w14:textId="521C283A"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22" w:history="1">
            <w:r w:rsidRPr="004E1CF1">
              <w:rPr>
                <w:rStyle w:val="Hyperlink"/>
                <w:bCs/>
                <w:noProof/>
              </w:rPr>
              <w:t>4.1.</w:t>
            </w:r>
            <w:r>
              <w:rPr>
                <w:rFonts w:asciiTheme="minorHAnsi" w:eastAsiaTheme="minorEastAsia" w:hAnsiTheme="minorHAnsi" w:cstheme="minorBidi"/>
                <w:noProof/>
                <w:kern w:val="2"/>
                <w:lang w:eastAsia="en-US"/>
                <w14:ligatures w14:val="standardContextual"/>
              </w:rPr>
              <w:tab/>
            </w:r>
            <w:r w:rsidRPr="004E1CF1">
              <w:rPr>
                <w:rStyle w:val="Hyperlink"/>
                <w:noProof/>
              </w:rPr>
              <w:t>The Impact of Municipality/City Size</w:t>
            </w:r>
            <w:r>
              <w:rPr>
                <w:noProof/>
                <w:webHidden/>
              </w:rPr>
              <w:tab/>
            </w:r>
            <w:r>
              <w:rPr>
                <w:noProof/>
                <w:webHidden/>
              </w:rPr>
              <w:fldChar w:fldCharType="begin"/>
            </w:r>
            <w:r>
              <w:rPr>
                <w:noProof/>
                <w:webHidden/>
              </w:rPr>
              <w:instrText xml:space="preserve"> PAGEREF _Toc166417722 \h </w:instrText>
            </w:r>
            <w:r>
              <w:rPr>
                <w:noProof/>
                <w:webHidden/>
              </w:rPr>
            </w:r>
            <w:r>
              <w:rPr>
                <w:noProof/>
                <w:webHidden/>
              </w:rPr>
              <w:fldChar w:fldCharType="separate"/>
            </w:r>
            <w:r>
              <w:rPr>
                <w:noProof/>
                <w:webHidden/>
              </w:rPr>
              <w:t>10</w:t>
            </w:r>
            <w:r>
              <w:rPr>
                <w:noProof/>
                <w:webHidden/>
              </w:rPr>
              <w:fldChar w:fldCharType="end"/>
            </w:r>
          </w:hyperlink>
        </w:p>
        <w:p w14:paraId="114EC2BE" w14:textId="14593793"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23" w:history="1">
            <w:r w:rsidRPr="004E1CF1">
              <w:rPr>
                <w:rStyle w:val="Hyperlink"/>
                <w:bCs/>
                <w:noProof/>
              </w:rPr>
              <w:t>4.2.</w:t>
            </w:r>
            <w:r>
              <w:rPr>
                <w:rFonts w:asciiTheme="minorHAnsi" w:eastAsiaTheme="minorEastAsia" w:hAnsiTheme="minorHAnsi" w:cstheme="minorBidi"/>
                <w:noProof/>
                <w:kern w:val="2"/>
                <w:lang w:eastAsia="en-US"/>
                <w14:ligatures w14:val="standardContextual"/>
              </w:rPr>
              <w:tab/>
            </w:r>
            <w:r w:rsidRPr="004E1CF1">
              <w:rPr>
                <w:rStyle w:val="Hyperlink"/>
                <w:noProof/>
              </w:rPr>
              <w:t>A division between eastern and western Poland</w:t>
            </w:r>
            <w:r>
              <w:rPr>
                <w:noProof/>
                <w:webHidden/>
              </w:rPr>
              <w:tab/>
            </w:r>
            <w:r>
              <w:rPr>
                <w:noProof/>
                <w:webHidden/>
              </w:rPr>
              <w:fldChar w:fldCharType="begin"/>
            </w:r>
            <w:r>
              <w:rPr>
                <w:noProof/>
                <w:webHidden/>
              </w:rPr>
              <w:instrText xml:space="preserve"> PAGEREF _Toc166417723 \h </w:instrText>
            </w:r>
            <w:r>
              <w:rPr>
                <w:noProof/>
                <w:webHidden/>
              </w:rPr>
            </w:r>
            <w:r>
              <w:rPr>
                <w:noProof/>
                <w:webHidden/>
              </w:rPr>
              <w:fldChar w:fldCharType="separate"/>
            </w:r>
            <w:r>
              <w:rPr>
                <w:noProof/>
                <w:webHidden/>
              </w:rPr>
              <w:t>11</w:t>
            </w:r>
            <w:r>
              <w:rPr>
                <w:noProof/>
                <w:webHidden/>
              </w:rPr>
              <w:fldChar w:fldCharType="end"/>
            </w:r>
          </w:hyperlink>
        </w:p>
        <w:p w14:paraId="1591AFB8" w14:textId="493C923F"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24" w:history="1">
            <w:r w:rsidRPr="004E1CF1">
              <w:rPr>
                <w:rStyle w:val="Hyperlink"/>
                <w:bCs/>
                <w:noProof/>
              </w:rPr>
              <w:t>4.3.</w:t>
            </w:r>
            <w:r>
              <w:rPr>
                <w:rFonts w:asciiTheme="minorHAnsi" w:eastAsiaTheme="minorEastAsia" w:hAnsiTheme="minorHAnsi" w:cstheme="minorBidi"/>
                <w:noProof/>
                <w:kern w:val="2"/>
                <w:lang w:eastAsia="en-US"/>
                <w14:ligatures w14:val="standardContextual"/>
              </w:rPr>
              <w:tab/>
            </w:r>
            <w:r w:rsidRPr="004E1CF1">
              <w:rPr>
                <w:rStyle w:val="Hyperlink"/>
                <w:noProof/>
              </w:rPr>
              <w:t>Variation in vaccination rates among different age groups</w:t>
            </w:r>
            <w:r>
              <w:rPr>
                <w:noProof/>
                <w:webHidden/>
              </w:rPr>
              <w:tab/>
            </w:r>
            <w:r>
              <w:rPr>
                <w:noProof/>
                <w:webHidden/>
              </w:rPr>
              <w:fldChar w:fldCharType="begin"/>
            </w:r>
            <w:r>
              <w:rPr>
                <w:noProof/>
                <w:webHidden/>
              </w:rPr>
              <w:instrText xml:space="preserve"> PAGEREF _Toc166417724 \h </w:instrText>
            </w:r>
            <w:r>
              <w:rPr>
                <w:noProof/>
                <w:webHidden/>
              </w:rPr>
            </w:r>
            <w:r>
              <w:rPr>
                <w:noProof/>
                <w:webHidden/>
              </w:rPr>
              <w:fldChar w:fldCharType="separate"/>
            </w:r>
            <w:r>
              <w:rPr>
                <w:noProof/>
                <w:webHidden/>
              </w:rPr>
              <w:t>14</w:t>
            </w:r>
            <w:r>
              <w:rPr>
                <w:noProof/>
                <w:webHidden/>
              </w:rPr>
              <w:fldChar w:fldCharType="end"/>
            </w:r>
          </w:hyperlink>
        </w:p>
        <w:p w14:paraId="110EDE45" w14:textId="6EE20997" w:rsidR="00C00B42" w:rsidRDefault="00C00B42">
          <w:pPr>
            <w:pStyle w:val="TOC3"/>
            <w:tabs>
              <w:tab w:val="left" w:pos="1200"/>
              <w:tab w:val="right" w:leader="dot" w:pos="9350"/>
            </w:tabs>
            <w:rPr>
              <w:rFonts w:asciiTheme="minorHAnsi" w:eastAsiaTheme="minorEastAsia" w:hAnsiTheme="minorHAnsi" w:cstheme="minorBidi"/>
              <w:noProof/>
              <w:kern w:val="2"/>
              <w:lang w:eastAsia="en-US"/>
              <w14:ligatures w14:val="standardContextual"/>
            </w:rPr>
          </w:pPr>
          <w:hyperlink w:anchor="_Toc166417725" w:history="1">
            <w:r w:rsidRPr="004E1CF1">
              <w:rPr>
                <w:rStyle w:val="Hyperlink"/>
                <w:bCs/>
                <w:noProof/>
              </w:rPr>
              <w:t>4.4.</w:t>
            </w:r>
            <w:r>
              <w:rPr>
                <w:rFonts w:asciiTheme="minorHAnsi" w:eastAsiaTheme="minorEastAsia" w:hAnsiTheme="minorHAnsi" w:cstheme="minorBidi"/>
                <w:noProof/>
                <w:kern w:val="2"/>
                <w:lang w:eastAsia="en-US"/>
                <w14:ligatures w14:val="standardContextual"/>
              </w:rPr>
              <w:tab/>
            </w:r>
            <w:r w:rsidRPr="004E1CF1">
              <w:rPr>
                <w:rStyle w:val="Hyperlink"/>
                <w:noProof/>
              </w:rPr>
              <w:t>Neighborhood effects and the contagious nature of vaccination propensity</w:t>
            </w:r>
            <w:r>
              <w:rPr>
                <w:noProof/>
                <w:webHidden/>
              </w:rPr>
              <w:tab/>
            </w:r>
            <w:r>
              <w:rPr>
                <w:noProof/>
                <w:webHidden/>
              </w:rPr>
              <w:fldChar w:fldCharType="begin"/>
            </w:r>
            <w:r>
              <w:rPr>
                <w:noProof/>
                <w:webHidden/>
              </w:rPr>
              <w:instrText xml:space="preserve"> PAGEREF _Toc166417725 \h </w:instrText>
            </w:r>
            <w:r>
              <w:rPr>
                <w:noProof/>
                <w:webHidden/>
              </w:rPr>
            </w:r>
            <w:r>
              <w:rPr>
                <w:noProof/>
                <w:webHidden/>
              </w:rPr>
              <w:fldChar w:fldCharType="separate"/>
            </w:r>
            <w:r>
              <w:rPr>
                <w:noProof/>
                <w:webHidden/>
              </w:rPr>
              <w:t>16</w:t>
            </w:r>
            <w:r>
              <w:rPr>
                <w:noProof/>
                <w:webHidden/>
              </w:rPr>
              <w:fldChar w:fldCharType="end"/>
            </w:r>
          </w:hyperlink>
        </w:p>
        <w:p w14:paraId="0271A7EE" w14:textId="446FC945" w:rsidR="00C00B42" w:rsidRDefault="00C00B42">
          <w:pPr>
            <w:pStyle w:val="TOC2"/>
            <w:tabs>
              <w:tab w:val="left" w:pos="720"/>
              <w:tab w:val="right" w:leader="dot" w:pos="9350"/>
            </w:tabs>
            <w:rPr>
              <w:rFonts w:asciiTheme="minorHAnsi" w:eastAsiaTheme="minorEastAsia" w:hAnsiTheme="minorHAnsi" w:cstheme="minorBidi"/>
              <w:noProof/>
              <w:kern w:val="2"/>
              <w:lang w:eastAsia="en-US"/>
              <w14:ligatures w14:val="standardContextual"/>
            </w:rPr>
          </w:pPr>
          <w:hyperlink w:anchor="_Toc166417726" w:history="1">
            <w:r w:rsidRPr="004E1CF1">
              <w:rPr>
                <w:rStyle w:val="Hyperlink"/>
                <w:bCs/>
                <w:noProof/>
              </w:rPr>
              <w:t>5.</w:t>
            </w:r>
            <w:r>
              <w:rPr>
                <w:rFonts w:asciiTheme="minorHAnsi" w:eastAsiaTheme="minorEastAsia" w:hAnsiTheme="minorHAnsi" w:cstheme="minorBidi"/>
                <w:noProof/>
                <w:kern w:val="2"/>
                <w:lang w:eastAsia="en-US"/>
                <w14:ligatures w14:val="standardContextual"/>
              </w:rPr>
              <w:tab/>
            </w:r>
            <w:r w:rsidRPr="004E1CF1">
              <w:rPr>
                <w:rStyle w:val="Hyperlink"/>
                <w:bCs/>
                <w:noProof/>
              </w:rPr>
              <w:t>Conclusions</w:t>
            </w:r>
            <w:r>
              <w:rPr>
                <w:noProof/>
                <w:webHidden/>
              </w:rPr>
              <w:tab/>
            </w:r>
            <w:r>
              <w:rPr>
                <w:noProof/>
                <w:webHidden/>
              </w:rPr>
              <w:fldChar w:fldCharType="begin"/>
            </w:r>
            <w:r>
              <w:rPr>
                <w:noProof/>
                <w:webHidden/>
              </w:rPr>
              <w:instrText xml:space="preserve"> PAGEREF _Toc166417726 \h </w:instrText>
            </w:r>
            <w:r>
              <w:rPr>
                <w:noProof/>
                <w:webHidden/>
              </w:rPr>
            </w:r>
            <w:r>
              <w:rPr>
                <w:noProof/>
                <w:webHidden/>
              </w:rPr>
              <w:fldChar w:fldCharType="separate"/>
            </w:r>
            <w:r>
              <w:rPr>
                <w:noProof/>
                <w:webHidden/>
              </w:rPr>
              <w:t>18</w:t>
            </w:r>
            <w:r>
              <w:rPr>
                <w:noProof/>
                <w:webHidden/>
              </w:rPr>
              <w:fldChar w:fldCharType="end"/>
            </w:r>
          </w:hyperlink>
        </w:p>
        <w:p w14:paraId="5D44050A" w14:textId="52F72941" w:rsidR="00C00B42" w:rsidRDefault="00C00B42">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6417727" w:history="1">
            <w:r w:rsidRPr="004E1CF1">
              <w:rPr>
                <w:rStyle w:val="Hyperlink"/>
                <w:noProof/>
              </w:rPr>
              <w:t>Reference</w:t>
            </w:r>
            <w:r>
              <w:rPr>
                <w:noProof/>
                <w:webHidden/>
              </w:rPr>
              <w:tab/>
            </w:r>
            <w:r>
              <w:rPr>
                <w:noProof/>
                <w:webHidden/>
              </w:rPr>
              <w:fldChar w:fldCharType="begin"/>
            </w:r>
            <w:r>
              <w:rPr>
                <w:noProof/>
                <w:webHidden/>
              </w:rPr>
              <w:instrText xml:space="preserve"> PAGEREF _Toc166417727 \h </w:instrText>
            </w:r>
            <w:r>
              <w:rPr>
                <w:noProof/>
                <w:webHidden/>
              </w:rPr>
            </w:r>
            <w:r>
              <w:rPr>
                <w:noProof/>
                <w:webHidden/>
              </w:rPr>
              <w:fldChar w:fldCharType="separate"/>
            </w:r>
            <w:r>
              <w:rPr>
                <w:noProof/>
                <w:webHidden/>
              </w:rPr>
              <w:t>19</w:t>
            </w:r>
            <w:r>
              <w:rPr>
                <w:noProof/>
                <w:webHidden/>
              </w:rPr>
              <w:fldChar w:fldCharType="end"/>
            </w:r>
          </w:hyperlink>
        </w:p>
        <w:p w14:paraId="354B06F2" w14:textId="15823797" w:rsidR="0038580A" w:rsidRDefault="0038580A">
          <w:r w:rsidRPr="0038580A">
            <w:rPr>
              <w:b/>
              <w:bCs/>
              <w:noProof/>
            </w:rPr>
            <w:fldChar w:fldCharType="end"/>
          </w:r>
        </w:p>
      </w:sdtContent>
    </w:sdt>
    <w:p w14:paraId="7F7922AE" w14:textId="77777777" w:rsidR="00134D79" w:rsidRDefault="00134D79" w:rsidP="00034062">
      <w:pPr>
        <w:spacing w:line="360" w:lineRule="auto"/>
        <w:jc w:val="both"/>
      </w:pPr>
    </w:p>
    <w:p w14:paraId="37A545BC" w14:textId="77777777" w:rsidR="007D5AF3" w:rsidRDefault="007D5AF3">
      <w:pPr>
        <w:spacing w:line="360" w:lineRule="auto"/>
      </w:pPr>
    </w:p>
    <w:p w14:paraId="5A710C6B" w14:textId="77777777" w:rsidR="007D5AF3" w:rsidRDefault="007D5AF3">
      <w:pPr>
        <w:spacing w:line="360" w:lineRule="auto"/>
        <w:rPr>
          <w:color w:val="000000"/>
        </w:rPr>
      </w:pPr>
    </w:p>
    <w:p w14:paraId="3DF65DE1" w14:textId="77777777" w:rsidR="007D5AF3" w:rsidRDefault="00000000">
      <w:pPr>
        <w:pBdr>
          <w:top w:val="nil"/>
          <w:left w:val="nil"/>
          <w:bottom w:val="nil"/>
          <w:right w:val="nil"/>
          <w:between w:val="nil"/>
        </w:pBdr>
        <w:spacing w:line="360" w:lineRule="auto"/>
        <w:rPr>
          <w:b/>
        </w:rPr>
      </w:pPr>
      <w:r>
        <w:br w:type="page"/>
      </w:r>
    </w:p>
    <w:p w14:paraId="2F7C67FE" w14:textId="77777777" w:rsidR="007D5AF3" w:rsidRPr="008D5495" w:rsidRDefault="00000000" w:rsidP="00134D79">
      <w:pPr>
        <w:pStyle w:val="Heading1"/>
        <w:spacing w:line="480" w:lineRule="auto"/>
        <w:rPr>
          <w:b w:val="0"/>
        </w:rPr>
      </w:pPr>
      <w:bookmarkStart w:id="3" w:name="_Toc166417711"/>
      <w:r w:rsidRPr="008D5495">
        <w:lastRenderedPageBreak/>
        <w:t>Introduction</w:t>
      </w:r>
      <w:bookmarkEnd w:id="3"/>
    </w:p>
    <w:p w14:paraId="52AE3A4A" w14:textId="77777777" w:rsidR="007D5AF3" w:rsidRDefault="00000000">
      <w:pPr>
        <w:pBdr>
          <w:top w:val="nil"/>
          <w:left w:val="nil"/>
          <w:bottom w:val="nil"/>
          <w:right w:val="nil"/>
          <w:between w:val="nil"/>
        </w:pBdr>
        <w:spacing w:line="360" w:lineRule="auto"/>
        <w:jc w:val="both"/>
      </w:pPr>
      <w:r>
        <w:rPr>
          <w:color w:val="0D0D0D"/>
          <w:highlight w:val="white"/>
        </w:rPr>
        <w:t>Numerous strategies exist for implementing effective Covid-19 vaccination programs, with vaccine deployment emerging as one of the most promising. Many nations have actively promoted vaccination among their citizens, aiming for a high rate of full vaccination coverage. Poland stands out as a country with notably high vaccination rates. This paper seeks to uncover the key factors contributing to Poland's success in managing the COVID-19 pandemic. The main question is: What were the drivers of the level of COVID-19 vaccination in Poland.</w:t>
      </w:r>
    </w:p>
    <w:p w14:paraId="00FEF983" w14:textId="77777777" w:rsidR="007D5AF3" w:rsidRDefault="00000000">
      <w:pPr>
        <w:spacing w:before="240" w:after="240" w:line="360" w:lineRule="auto"/>
        <w:jc w:val="both"/>
      </w:pPr>
      <w:r>
        <w:t>In that context, the paper addresses three main hypotheses:</w:t>
      </w:r>
    </w:p>
    <w:p w14:paraId="50B6B4C9" w14:textId="77777777" w:rsidR="007D5AF3" w:rsidRDefault="00000000">
      <w:pPr>
        <w:spacing w:after="160" w:line="360" w:lineRule="auto"/>
        <w:ind w:left="1080"/>
        <w:jc w:val="both"/>
      </w:pPr>
      <w:r>
        <w:t>(i) The size of municipalities/ cities affects the vaccination rate.</w:t>
      </w:r>
    </w:p>
    <w:p w14:paraId="0C426495" w14:textId="77777777" w:rsidR="007D5AF3" w:rsidRDefault="00000000">
      <w:pPr>
        <w:spacing w:after="160" w:line="360" w:lineRule="auto"/>
        <w:ind w:left="1080"/>
        <w:jc w:val="both"/>
      </w:pPr>
      <w:r>
        <w:t>(ii)</w:t>
      </w:r>
      <w:r>
        <w:rPr>
          <w:sz w:val="14"/>
          <w:szCs w:val="14"/>
        </w:rPr>
        <w:t xml:space="preserve">   </w:t>
      </w:r>
      <w:r>
        <w:t>There is the division between eastern and western Poland for the vaccination rate</w:t>
      </w:r>
    </w:p>
    <w:p w14:paraId="6A1953BC" w14:textId="77777777" w:rsidR="007D5AF3" w:rsidRDefault="00000000">
      <w:pPr>
        <w:spacing w:after="160" w:line="360" w:lineRule="auto"/>
        <w:ind w:left="1080"/>
        <w:jc w:val="both"/>
      </w:pPr>
      <w:r>
        <w:t>(iii) There is a variation in vaccination rates among different age groups.</w:t>
      </w:r>
    </w:p>
    <w:p w14:paraId="68AE488F" w14:textId="77777777" w:rsidR="007D5AF3" w:rsidRDefault="00000000">
      <w:pPr>
        <w:spacing w:after="160" w:line="360" w:lineRule="auto"/>
        <w:jc w:val="both"/>
      </w:pPr>
      <w:r>
        <w:t>Besides, the paper also focus on some extra questions:</w:t>
      </w:r>
    </w:p>
    <w:p w14:paraId="01227A0F" w14:textId="77777777" w:rsidR="007D5AF3" w:rsidRDefault="00000000">
      <w:pPr>
        <w:spacing w:after="160" w:line="360" w:lineRule="auto"/>
        <w:ind w:left="1080"/>
        <w:jc w:val="both"/>
      </w:pPr>
      <w:r>
        <w:t xml:space="preserve">(vi) </w:t>
      </w:r>
      <w:r>
        <w:rPr>
          <w:color w:val="0D0D0D"/>
          <w:highlight w:val="white"/>
        </w:rPr>
        <w:t>Which variable exerts the greatest influence in large cities, rural areas, and mixed regions?</w:t>
      </w:r>
    </w:p>
    <w:p w14:paraId="22B13857" w14:textId="77777777" w:rsidR="007D5AF3" w:rsidRDefault="00000000">
      <w:pPr>
        <w:spacing w:after="160" w:line="360" w:lineRule="auto"/>
        <w:ind w:left="1080"/>
        <w:jc w:val="both"/>
      </w:pPr>
      <w:r>
        <w:t>(v)</w:t>
      </w:r>
      <w:r>
        <w:rPr>
          <w:sz w:val="14"/>
          <w:szCs w:val="14"/>
        </w:rPr>
        <w:t xml:space="preserve">   </w:t>
      </w:r>
      <w:r>
        <w:t>What are the links between political views and vaccination rates?</w:t>
      </w:r>
    </w:p>
    <w:p w14:paraId="03CB1F80" w14:textId="77777777" w:rsidR="007D5AF3" w:rsidRDefault="00000000">
      <w:pPr>
        <w:spacing w:after="160" w:line="360" w:lineRule="auto"/>
        <w:ind w:left="1080"/>
        <w:jc w:val="both"/>
      </w:pPr>
      <w:r>
        <w:t>(vi) Is there a neighborhood effect? Is the propensity to vaccinate contagious?</w:t>
      </w:r>
    </w:p>
    <w:p w14:paraId="228431D4" w14:textId="77777777" w:rsidR="007D5AF3" w:rsidRDefault="00000000">
      <w:pPr>
        <w:spacing w:before="240" w:after="240" w:line="360" w:lineRule="auto"/>
        <w:jc w:val="both"/>
      </w:pPr>
      <w:r>
        <w:t>The structure of the paper is as follows: Section 1 provides a literature overview of implementing covid strategies. Section 2 describes the data set used in this study. Section 3 explains the implementation of the strategy. Section 4 presents the empirical result. Section 5 presents the conclusion.</w:t>
      </w:r>
    </w:p>
    <w:p w14:paraId="44785650" w14:textId="77777777" w:rsidR="007D5AF3" w:rsidRDefault="00000000">
      <w:pPr>
        <w:spacing w:before="240" w:after="240" w:line="360" w:lineRule="auto"/>
        <w:jc w:val="both"/>
      </w:pPr>
      <w:r>
        <w:br w:type="page"/>
      </w:r>
    </w:p>
    <w:p w14:paraId="57941769" w14:textId="77777777" w:rsidR="007D5AF3" w:rsidRDefault="00000000" w:rsidP="00134D79">
      <w:pPr>
        <w:pStyle w:val="Heading2"/>
        <w:numPr>
          <w:ilvl w:val="0"/>
          <w:numId w:val="4"/>
        </w:numPr>
        <w:ind w:left="720" w:hanging="720"/>
        <w:rPr>
          <w:b w:val="0"/>
        </w:rPr>
      </w:pPr>
      <w:bookmarkStart w:id="4" w:name="_Toc166417712"/>
      <w:r>
        <w:lastRenderedPageBreak/>
        <w:t>Literature Review: Sociodemographic Factors Influencing COVID-19 Vaccination Rates</w:t>
      </w:r>
      <w:bookmarkEnd w:id="4"/>
    </w:p>
    <w:p w14:paraId="6752FF4B" w14:textId="77777777" w:rsidR="007D5AF3" w:rsidRDefault="00000000" w:rsidP="00034062">
      <w:pPr>
        <w:pBdr>
          <w:top w:val="nil"/>
          <w:left w:val="nil"/>
          <w:bottom w:val="nil"/>
          <w:right w:val="nil"/>
          <w:between w:val="nil"/>
        </w:pBdr>
        <w:spacing w:line="360" w:lineRule="auto"/>
        <w:ind w:left="720"/>
        <w:jc w:val="both"/>
      </w:pPr>
      <w:r>
        <w:t>The COVID-19 pandemic has highlighted the importance of vaccination in preventing the spread of infectious illnesses and reducing their impact on public health. Understanding the factors influencing vaccination rates is critical for developing efficient vaccine distribution and uptake methods. This literature review looks at current data on several socio-demographic characteristics that may influence vaccination rates during the COVID-19 pandemic.</w:t>
      </w:r>
    </w:p>
    <w:p w14:paraId="7618CC84" w14:textId="3E84F5DE" w:rsidR="007D5AF3" w:rsidRDefault="00000000" w:rsidP="00134D79">
      <w:pPr>
        <w:pStyle w:val="Heading3"/>
        <w:numPr>
          <w:ilvl w:val="1"/>
          <w:numId w:val="5"/>
        </w:numPr>
        <w:ind w:left="1440" w:hanging="720"/>
        <w:rPr>
          <w:b w:val="0"/>
        </w:rPr>
      </w:pPr>
      <w:bookmarkStart w:id="5" w:name="_Toc166417713"/>
      <w:r>
        <w:t>Urbanization</w:t>
      </w:r>
      <w:bookmarkEnd w:id="5"/>
    </w:p>
    <w:p w14:paraId="306ACFDA" w14:textId="77777777" w:rsidR="007D5AF3" w:rsidRDefault="00000000" w:rsidP="00034062">
      <w:pPr>
        <w:spacing w:line="360" w:lineRule="auto"/>
        <w:ind w:left="1440"/>
        <w:jc w:val="both"/>
      </w:pPr>
      <w:r>
        <w:t>During the COVID-19 epidemic, researchers looked at the link between metropolitan size and vaccination rates. Larger localities can benefit from improved infrastructure, healthcare resources, and communication networks, resulting in greater vaccination rates. In contrast, smaller localities may have logistical difficulties in vaccination delivery and access to healthcare services. Based on Ma and Monnat's (2022) research, watching and assessing this document gives a thorough grasp of the link between urban growth and COVID-19 immunization rates. The study not only verifies a well-known phenomena - that vaccination rates are lower in rural counties than in urban ones - but it also goes further, comparing immunization rates across different types of rural counties.</w:t>
      </w:r>
    </w:p>
    <w:p w14:paraId="0CB4A741" w14:textId="77777777" w:rsidR="007D5AF3" w:rsidRDefault="00000000" w:rsidP="00034062">
      <w:pPr>
        <w:spacing w:line="360" w:lineRule="auto"/>
        <w:ind w:left="1440"/>
        <w:jc w:val="both"/>
      </w:pPr>
      <w:r>
        <w:t>As a result of this research, one component of assessing the document might underline the significance of metropolitan area/city scale in determining COVID-19 immunization rates. Based on the study's findings, it is possible to suggest the following hypothesis:</w:t>
      </w:r>
    </w:p>
    <w:p w14:paraId="09811FEA" w14:textId="77777777" w:rsidR="007D5AF3" w:rsidRDefault="007D5AF3">
      <w:pPr>
        <w:spacing w:line="360" w:lineRule="auto"/>
        <w:ind w:left="1440"/>
      </w:pPr>
    </w:p>
    <w:p w14:paraId="46CDBA64" w14:textId="1B28DA8E" w:rsidR="007D5AF3" w:rsidRDefault="00F636EB">
      <w:pPr>
        <w:spacing w:line="360" w:lineRule="auto"/>
        <w:ind w:left="1440"/>
      </w:pPr>
      <w:r>
        <w:rPr>
          <w:b/>
          <w:bCs/>
          <w:color w:val="000000"/>
        </w:rPr>
        <w:t>Hypothesis 1</w:t>
      </w:r>
      <w:r>
        <w:rPr>
          <w:color w:val="000000"/>
        </w:rPr>
        <w:t>: The scale of urban areas/cities plays a significant role in shaping COVID-19 vaccination rates, with larger urban areas/cities typically having higher vaccination rates compared to rural and smaller urban areas</w:t>
      </w:r>
    </w:p>
    <w:p w14:paraId="5F9D2842" w14:textId="030519A4" w:rsidR="007D5AF3" w:rsidRDefault="00000000" w:rsidP="00520117">
      <w:pPr>
        <w:pStyle w:val="Heading3"/>
        <w:numPr>
          <w:ilvl w:val="1"/>
          <w:numId w:val="5"/>
        </w:numPr>
        <w:ind w:left="1440" w:hanging="720"/>
        <w:rPr>
          <w:b w:val="0"/>
        </w:rPr>
      </w:pPr>
      <w:bookmarkStart w:id="6" w:name="_Toc166417714"/>
      <w:r>
        <w:t>Regional Disparities</w:t>
      </w:r>
      <w:bookmarkEnd w:id="6"/>
    </w:p>
    <w:p w14:paraId="2B1E5793" w14:textId="77777777" w:rsidR="007D5AF3" w:rsidRDefault="00000000" w:rsidP="00034062">
      <w:pPr>
        <w:spacing w:line="360" w:lineRule="auto"/>
        <w:ind w:left="1440"/>
        <w:jc w:val="both"/>
      </w:pPr>
      <w:r>
        <w:t xml:space="preserve">Recent research has shown that immunization rates and geopolitical considerations have a substantial influence on regional differences in COVID-19 results. Vilches et al. (2022) emphasized the significance of rapid vaccination programs. Despite </w:t>
      </w:r>
      <w:r>
        <w:lastRenderedPageBreak/>
        <w:t>this trend, their data indicate that expanded immunization efforts would have equivalent or perhaps greater per capita impacts in southern regions than in northern states.</w:t>
      </w:r>
    </w:p>
    <w:p w14:paraId="461275F3" w14:textId="77777777" w:rsidR="007D5AF3" w:rsidRDefault="00000000" w:rsidP="00034062">
      <w:pPr>
        <w:spacing w:line="360" w:lineRule="auto"/>
        <w:ind w:left="1440"/>
        <w:jc w:val="both"/>
      </w:pPr>
      <w:r>
        <w:t>Similarly, Shkolnikov et al. (2023) investigated East-West discrepancies in life expectancy during the COVID-19 epidemic. Their findings revealed a worsening East-West life expectancy divide, with Eastern European nations seeing higher life expectancy reductions, particularly in 2021. The trajectory of extra mortality varied dramatically between the East and West, with Eastern nations seeing minor excess mortality until the fall of 2020.</w:t>
      </w:r>
    </w:p>
    <w:p w14:paraId="4D43B30F" w14:textId="77777777" w:rsidR="007D5AF3" w:rsidRDefault="00000000" w:rsidP="00034062">
      <w:pPr>
        <w:spacing w:line="360" w:lineRule="auto"/>
        <w:ind w:left="1440"/>
        <w:jc w:val="both"/>
      </w:pPr>
      <w:r>
        <w:t>Building on these findings, it is possible to assume that vaccination rates differ across Poland's Eastern and Western areas, with surrounding nations playing a role. Specifically, the Eastern area, bordering Ukraine and Belarus, may have lower immunization rates than the Western region, which shares borders with Germany. This disparity in vaccination rates might be ascribed to surrounding nations' effect on cross-border travel, connectivity, and faith in government and healthcare institutions.</w:t>
      </w:r>
    </w:p>
    <w:p w14:paraId="393920BD" w14:textId="77777777" w:rsidR="007D5AF3" w:rsidRDefault="007D5AF3">
      <w:pPr>
        <w:spacing w:line="360" w:lineRule="auto"/>
        <w:ind w:left="1440"/>
      </w:pPr>
    </w:p>
    <w:p w14:paraId="5FA9C7C7" w14:textId="77777777" w:rsidR="007D5AF3" w:rsidRDefault="00000000" w:rsidP="00034062">
      <w:pPr>
        <w:spacing w:line="360" w:lineRule="auto"/>
        <w:ind w:left="1440"/>
        <w:jc w:val="both"/>
      </w:pPr>
      <w:r>
        <w:t>Thus, the discrepancies in vaccination rates between Poland's Eastern and Western areas may be impacted by neighboring nations' vaccination efforts and public health initiatives, resulting in diverse COVID-19 findings.</w:t>
      </w:r>
    </w:p>
    <w:p w14:paraId="0F620453" w14:textId="77777777" w:rsidR="007D5AF3" w:rsidRDefault="007D5AF3">
      <w:pPr>
        <w:spacing w:line="360" w:lineRule="auto"/>
        <w:ind w:left="1440"/>
      </w:pPr>
    </w:p>
    <w:p w14:paraId="3E4C8E43" w14:textId="77777777" w:rsidR="007D5AF3" w:rsidRDefault="00000000">
      <w:pPr>
        <w:spacing w:line="360" w:lineRule="auto"/>
        <w:ind w:left="1440"/>
      </w:pPr>
      <w:r>
        <w:rPr>
          <w:b/>
        </w:rPr>
        <w:t xml:space="preserve">Hypothesis 2: </w:t>
      </w:r>
      <w:r>
        <w:t>Disparities in vaccination rates may exist between Eastern and Western regions of Poland</w:t>
      </w:r>
    </w:p>
    <w:p w14:paraId="39A6C2F4" w14:textId="70688F9A" w:rsidR="007D5AF3" w:rsidRDefault="00000000" w:rsidP="00520117">
      <w:pPr>
        <w:pStyle w:val="Heading3"/>
        <w:numPr>
          <w:ilvl w:val="1"/>
          <w:numId w:val="5"/>
        </w:numPr>
        <w:ind w:left="1440" w:hanging="720"/>
        <w:rPr>
          <w:b w:val="0"/>
        </w:rPr>
      </w:pPr>
      <w:bookmarkStart w:id="7" w:name="_Toc166417715"/>
      <w:r>
        <w:t>Age Groups:</w:t>
      </w:r>
      <w:bookmarkEnd w:id="7"/>
    </w:p>
    <w:p w14:paraId="4D91D066" w14:textId="77777777" w:rsidR="007D5AF3" w:rsidRDefault="00000000" w:rsidP="00034062">
      <w:pPr>
        <w:spacing w:line="360" w:lineRule="auto"/>
        <w:ind w:left="1440"/>
        <w:jc w:val="both"/>
      </w:pPr>
      <w:r>
        <w:t xml:space="preserve">Understanding the relationship between age and vaccine acceptability is critical. However, current research paints a more complicated picture. Wang et al. (2021) did a comprehensive study and found that the relationship between age and vaccine tolerance is not always clear. According to their findings, other characteristics may play a larger influence. Similarly, Lazarus et al. (2020) discovered significant variability in vaccine acceptability among nations, indicating that age alone may not be sufficient to explain variances. These findings underscore the importance of </w:t>
      </w:r>
      <w:r>
        <w:lastRenderedPageBreak/>
        <w:t>social and psychological elements, as well as faith in science and authority, which varies by age and geographic area. Based on these results, we offer a null hypothesis:</w:t>
      </w:r>
    </w:p>
    <w:p w14:paraId="6DF4B703" w14:textId="77777777" w:rsidR="007D5AF3" w:rsidRDefault="007D5AF3">
      <w:pPr>
        <w:spacing w:line="360" w:lineRule="auto"/>
      </w:pPr>
    </w:p>
    <w:p w14:paraId="601DE5C0" w14:textId="77777777" w:rsidR="007D5AF3" w:rsidRDefault="00000000">
      <w:pPr>
        <w:spacing w:line="360" w:lineRule="auto"/>
        <w:ind w:left="1440"/>
      </w:pPr>
      <w:r>
        <w:rPr>
          <w:b/>
        </w:rPr>
        <w:t>Hypothesis 3</w:t>
      </w:r>
      <w:r>
        <w:t>: The decision to vaccinate against COVID-19 is not influenced just by one's age.</w:t>
      </w:r>
    </w:p>
    <w:p w14:paraId="0BDEBD19" w14:textId="5EFADA36" w:rsidR="007D5AF3" w:rsidRDefault="00000000" w:rsidP="00520117">
      <w:pPr>
        <w:pStyle w:val="Heading3"/>
        <w:numPr>
          <w:ilvl w:val="1"/>
          <w:numId w:val="5"/>
        </w:numPr>
        <w:ind w:left="1440" w:hanging="720"/>
        <w:rPr>
          <w:b w:val="0"/>
        </w:rPr>
      </w:pPr>
      <w:bookmarkStart w:id="8" w:name="_Toc166417716"/>
      <w:r>
        <w:t>Neighborhood Effect on Vaccination Behavior</w:t>
      </w:r>
      <w:bookmarkEnd w:id="8"/>
    </w:p>
    <w:p w14:paraId="7B092DD6" w14:textId="77777777" w:rsidR="007D5AF3" w:rsidRDefault="00000000" w:rsidP="00034062">
      <w:pPr>
        <w:spacing w:line="360" w:lineRule="auto"/>
        <w:ind w:left="1440"/>
        <w:jc w:val="both"/>
      </w:pPr>
      <w:r>
        <w:t>Karashiali et al. (2023) conducted a qualitative research to investigate the impact of social networks on COVID-19 vaccine attitudes and uptake. Their findings emphasize the idea of social contagion and the importance of trust, knowledge, and exposure in social networks (Karashiali et al., 2023). According to the study, people are more inclined to follow immunization practices recommended by trustworthy sources such as family and friends. Additionally, the perceived knowledge and integrity of information sources, especially healthcare experts, has a substantial impact on judgments. Exposure to good or negative vaccination attitudes in social networks adds to the contagion effect. Building on them, we offer the following hypothesis:</w:t>
      </w:r>
    </w:p>
    <w:p w14:paraId="6A81AE9B" w14:textId="77777777" w:rsidR="007D5AF3" w:rsidRDefault="007D5AF3">
      <w:pPr>
        <w:spacing w:line="360" w:lineRule="auto"/>
        <w:ind w:left="1440"/>
      </w:pPr>
    </w:p>
    <w:p w14:paraId="0C147144" w14:textId="77777777" w:rsidR="007D5AF3" w:rsidRDefault="00000000" w:rsidP="00034062">
      <w:pPr>
        <w:spacing w:line="360" w:lineRule="auto"/>
        <w:ind w:left="1440"/>
        <w:jc w:val="both"/>
      </w:pPr>
      <w:r>
        <w:rPr>
          <w:b/>
        </w:rPr>
        <w:t>Hypothesis 4:</w:t>
      </w:r>
      <w:r>
        <w:t xml:space="preserve"> There is a neighborhood effect, in which the willingness to vaccinate against COVID-19 is contagious among local populations. Individuals who live near together are more likely to affect one another's vaccination attitudes and actions via social contagion mechanisms.</w:t>
      </w:r>
    </w:p>
    <w:p w14:paraId="0749E1F9" w14:textId="77777777" w:rsidR="007D5AF3" w:rsidRDefault="007D5AF3">
      <w:pPr>
        <w:pBdr>
          <w:top w:val="nil"/>
          <w:left w:val="nil"/>
          <w:bottom w:val="nil"/>
          <w:right w:val="nil"/>
          <w:between w:val="nil"/>
        </w:pBdr>
        <w:spacing w:line="360" w:lineRule="auto"/>
        <w:ind w:left="1440"/>
      </w:pPr>
    </w:p>
    <w:p w14:paraId="386EBDA3" w14:textId="77777777" w:rsidR="007D5AF3" w:rsidRPr="00134D79" w:rsidRDefault="00000000" w:rsidP="00520117">
      <w:pPr>
        <w:pStyle w:val="Heading2"/>
        <w:numPr>
          <w:ilvl w:val="0"/>
          <w:numId w:val="5"/>
        </w:numPr>
        <w:ind w:left="720" w:hanging="720"/>
        <w:rPr>
          <w:bCs/>
        </w:rPr>
      </w:pPr>
      <w:bookmarkStart w:id="9" w:name="_Toc166417717"/>
      <w:r w:rsidRPr="00134D79">
        <w:rPr>
          <w:bCs/>
        </w:rPr>
        <w:t>Methodology</w:t>
      </w:r>
      <w:bookmarkEnd w:id="9"/>
    </w:p>
    <w:p w14:paraId="0B6DE831" w14:textId="77FC881B" w:rsidR="007D5AF3" w:rsidRPr="00520117" w:rsidRDefault="00000000" w:rsidP="00520117">
      <w:pPr>
        <w:pStyle w:val="Heading3"/>
        <w:numPr>
          <w:ilvl w:val="1"/>
          <w:numId w:val="5"/>
        </w:numPr>
        <w:ind w:left="1440" w:hanging="720"/>
        <w:rPr>
          <w:bCs/>
        </w:rPr>
      </w:pPr>
      <w:bookmarkStart w:id="10" w:name="_Toc166417718"/>
      <w:r w:rsidRPr="00520117">
        <w:rPr>
          <w:bCs/>
        </w:rPr>
        <w:t>Correlation</w:t>
      </w:r>
      <w:bookmarkEnd w:id="10"/>
    </w:p>
    <w:p w14:paraId="12714857" w14:textId="77777777" w:rsidR="007D5AF3" w:rsidRDefault="00000000" w:rsidP="000E02F5">
      <w:pPr>
        <w:pBdr>
          <w:top w:val="nil"/>
          <w:left w:val="nil"/>
          <w:bottom w:val="nil"/>
          <w:right w:val="nil"/>
          <w:between w:val="nil"/>
        </w:pBdr>
        <w:spacing w:line="360" w:lineRule="auto"/>
        <w:ind w:left="1440"/>
        <w:jc w:val="both"/>
      </w:pPr>
      <w:r>
        <w:rPr>
          <w:color w:val="0D0D0D"/>
          <w:highlight w:val="white"/>
        </w:rPr>
        <w:t xml:space="preserve">Correlation serves as a statistical tool to gauge the relationship between two variables. Various coefficients are employed for this purpose. Notably, the correlation coefficient, which spans from -1 to +1, is widely used to denote the direction of the relationship. When two variables exhibit a positive correlation, the coefficient is positive; conversely, in the case of a negative correlation, the </w:t>
      </w:r>
      <w:r>
        <w:rPr>
          <w:color w:val="0D0D0D"/>
          <w:highlight w:val="white"/>
        </w:rPr>
        <w:lastRenderedPageBreak/>
        <w:t>coefficient is negative. A coefficient of 0 signifies no correlation between the variables.</w:t>
      </w:r>
    </w:p>
    <w:p w14:paraId="1EF0EF59" w14:textId="55D1E090" w:rsidR="007D5AF3" w:rsidRPr="00520117" w:rsidRDefault="00000000" w:rsidP="00520117">
      <w:pPr>
        <w:pStyle w:val="Heading3"/>
        <w:numPr>
          <w:ilvl w:val="1"/>
          <w:numId w:val="5"/>
        </w:numPr>
        <w:ind w:left="1440" w:hanging="720"/>
        <w:rPr>
          <w:bCs/>
        </w:rPr>
      </w:pPr>
      <w:bookmarkStart w:id="11" w:name="_Toc166417719"/>
      <w:r w:rsidRPr="00520117">
        <w:rPr>
          <w:bCs/>
        </w:rPr>
        <w:t>Linear regression</w:t>
      </w:r>
      <w:bookmarkEnd w:id="11"/>
    </w:p>
    <w:p w14:paraId="1C1AF696" w14:textId="77777777" w:rsidR="007D5AF3" w:rsidRDefault="00000000" w:rsidP="000E02F5">
      <w:pPr>
        <w:pBdr>
          <w:top w:val="nil"/>
          <w:left w:val="nil"/>
          <w:bottom w:val="nil"/>
          <w:right w:val="nil"/>
          <w:between w:val="nil"/>
        </w:pBdr>
        <w:spacing w:line="360" w:lineRule="auto"/>
        <w:ind w:left="1440"/>
        <w:jc w:val="both"/>
        <w:rPr>
          <w:color w:val="161616"/>
          <w:highlight w:val="white"/>
        </w:rPr>
      </w:pPr>
      <w:r>
        <w:t xml:space="preserve">In statistics, linear regression is a statistical model which estimates the linear relationship between the dependent variables and one or more other independent variables. </w:t>
      </w:r>
      <w:r>
        <w:rPr>
          <w:color w:val="161616"/>
          <w:highlight w:val="white"/>
        </w:rPr>
        <w:t xml:space="preserve">Linear-regression models are relatively simple and provide an easy-to-interpret mathematical formula that can generate predictions. </w:t>
      </w:r>
      <w:r>
        <w:rPr>
          <w:color w:val="202122"/>
          <w:highlight w:val="white"/>
        </w:rPr>
        <w:t xml:space="preserve">A linear regression model assumes that the relationship between the dependent variable </w:t>
      </w:r>
      <w:r>
        <w:rPr>
          <w:i/>
          <w:color w:val="202122"/>
          <w:highlight w:val="white"/>
        </w:rPr>
        <w:t>y</w:t>
      </w:r>
      <w:r>
        <w:rPr>
          <w:color w:val="202122"/>
          <w:highlight w:val="white"/>
        </w:rPr>
        <w:t xml:space="preserve"> and the vector of regressors x is linear followed by the equation:</w:t>
      </w:r>
    </w:p>
    <w:p w14:paraId="51729662" w14:textId="77777777" w:rsidR="007D5AF3" w:rsidRDefault="00000000" w:rsidP="000E02F5">
      <w:pPr>
        <w:pBdr>
          <w:top w:val="nil"/>
          <w:left w:val="nil"/>
          <w:bottom w:val="nil"/>
          <w:right w:val="nil"/>
          <w:between w:val="nil"/>
        </w:pBdr>
        <w:spacing w:line="360" w:lineRule="auto"/>
        <w:ind w:left="1260"/>
      </w:pPr>
      <w:r>
        <w:rPr>
          <w:noProof/>
        </w:rPr>
        <w:drawing>
          <wp:inline distT="114300" distB="114300" distL="114300" distR="114300" wp14:anchorId="5B1DD816" wp14:editId="22F7B36A">
            <wp:extent cx="4481513" cy="51191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81513" cy="511916"/>
                    </a:xfrm>
                    <a:prstGeom prst="rect">
                      <a:avLst/>
                    </a:prstGeom>
                    <a:ln/>
                  </pic:spPr>
                </pic:pic>
              </a:graphicData>
            </a:graphic>
          </wp:inline>
        </w:drawing>
      </w:r>
    </w:p>
    <w:p w14:paraId="340008CA" w14:textId="77777777" w:rsidR="007D5AF3" w:rsidRDefault="00000000" w:rsidP="000E02F5">
      <w:pPr>
        <w:pBdr>
          <w:top w:val="nil"/>
          <w:left w:val="nil"/>
          <w:bottom w:val="nil"/>
          <w:right w:val="nil"/>
          <w:between w:val="nil"/>
        </w:pBdr>
        <w:spacing w:line="360" w:lineRule="auto"/>
        <w:ind w:left="1440"/>
      </w:pPr>
      <w:r>
        <w:t>i = 1, 2, …, n</w:t>
      </w:r>
    </w:p>
    <w:p w14:paraId="005E0966" w14:textId="77777777" w:rsidR="007D5AF3" w:rsidRDefault="00000000" w:rsidP="000E02F5">
      <w:pPr>
        <w:pBdr>
          <w:top w:val="nil"/>
          <w:left w:val="nil"/>
          <w:bottom w:val="nil"/>
          <w:right w:val="nil"/>
          <w:between w:val="nil"/>
        </w:pBdr>
        <w:spacing w:line="360" w:lineRule="auto"/>
        <w:ind w:left="1350"/>
      </w:pPr>
      <w:r>
        <w:rPr>
          <w:noProof/>
        </w:rPr>
        <w:drawing>
          <wp:inline distT="114300" distB="114300" distL="114300" distR="114300" wp14:anchorId="13AAA0CF" wp14:editId="13E7DAA0">
            <wp:extent cx="1509713" cy="243324"/>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509713" cy="243324"/>
                    </a:xfrm>
                    <a:prstGeom prst="rect">
                      <a:avLst/>
                    </a:prstGeom>
                    <a:ln/>
                  </pic:spPr>
                </pic:pic>
              </a:graphicData>
            </a:graphic>
          </wp:inline>
        </w:drawing>
      </w:r>
    </w:p>
    <w:p w14:paraId="329B43A1" w14:textId="77777777" w:rsidR="007D5AF3" w:rsidRDefault="007D5AF3">
      <w:pPr>
        <w:pBdr>
          <w:top w:val="nil"/>
          <w:left w:val="nil"/>
          <w:bottom w:val="nil"/>
          <w:right w:val="nil"/>
          <w:between w:val="nil"/>
        </w:pBdr>
        <w:spacing w:line="360" w:lineRule="auto"/>
        <w:ind w:left="720"/>
      </w:pPr>
    </w:p>
    <w:p w14:paraId="097E4C76" w14:textId="77777777" w:rsidR="007D5AF3" w:rsidRPr="00520117" w:rsidRDefault="00000000" w:rsidP="00520117">
      <w:pPr>
        <w:pStyle w:val="Heading2"/>
        <w:numPr>
          <w:ilvl w:val="0"/>
          <w:numId w:val="5"/>
        </w:numPr>
        <w:ind w:left="720" w:hanging="720"/>
        <w:rPr>
          <w:bCs/>
        </w:rPr>
      </w:pPr>
      <w:bookmarkStart w:id="12" w:name="_Toc166417720"/>
      <w:r w:rsidRPr="00520117">
        <w:rPr>
          <w:bCs/>
        </w:rPr>
        <w:t>Data</w:t>
      </w:r>
      <w:bookmarkEnd w:id="12"/>
    </w:p>
    <w:p w14:paraId="4D480BFB" w14:textId="2446E3CB" w:rsidR="007D5AF3" w:rsidRDefault="0038580A" w:rsidP="0038580A">
      <w:pPr>
        <w:pBdr>
          <w:top w:val="nil"/>
          <w:left w:val="nil"/>
          <w:bottom w:val="nil"/>
          <w:right w:val="nil"/>
          <w:between w:val="nil"/>
        </w:pBdr>
        <w:spacing w:line="360" w:lineRule="auto"/>
        <w:ind w:left="720"/>
        <w:jc w:val="both"/>
      </w:pPr>
      <w:r w:rsidRPr="0038580A">
        <w:t>The research utilizes a dataset comprising characteristics of Polish municipalities, consisting of 100 variables and 2,477 observations. The primary variable under examination is the percentage of inhabitants fully vaccinated against COVID-19, sourced from the Polish Ministry of Health for the year 2021. Additionally, other variables are sourced from the Local Data Bank of Statistics Poland for the year 2020. Furthermore, the study incorporates data from Poland's counties, encompassing 12 variables and 380 observations.</w:t>
      </w:r>
      <w:r w:rsidR="00000000">
        <w:t xml:space="preserve"> </w:t>
      </w:r>
    </w:p>
    <w:p w14:paraId="6000701A" w14:textId="77777777" w:rsidR="007D5AF3" w:rsidRPr="00520117" w:rsidRDefault="00000000" w:rsidP="00520117">
      <w:pPr>
        <w:pStyle w:val="Heading2"/>
        <w:numPr>
          <w:ilvl w:val="0"/>
          <w:numId w:val="5"/>
        </w:numPr>
        <w:ind w:left="720" w:hanging="720"/>
        <w:rPr>
          <w:bCs/>
        </w:rPr>
      </w:pPr>
      <w:bookmarkStart w:id="13" w:name="_Toc166417721"/>
      <w:r w:rsidRPr="00520117">
        <w:rPr>
          <w:bCs/>
        </w:rPr>
        <w:t>Results</w:t>
      </w:r>
      <w:bookmarkEnd w:id="13"/>
    </w:p>
    <w:p w14:paraId="0BD98012" w14:textId="77777777" w:rsidR="007D5AF3" w:rsidRDefault="00000000" w:rsidP="000E02F5">
      <w:pPr>
        <w:spacing w:line="360" w:lineRule="auto"/>
        <w:ind w:left="720"/>
      </w:pPr>
      <w:r>
        <w:t>Our main variable is “Percent vaccinated”. Below is the distribution of the target variable.</w:t>
      </w:r>
    </w:p>
    <w:tbl>
      <w:tblPr>
        <w:tblStyle w:val="a"/>
        <w:tblW w:w="85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900"/>
        <w:gridCol w:w="990"/>
        <w:gridCol w:w="900"/>
        <w:gridCol w:w="900"/>
        <w:gridCol w:w="990"/>
        <w:gridCol w:w="900"/>
        <w:gridCol w:w="900"/>
        <w:gridCol w:w="720"/>
      </w:tblGrid>
      <w:tr w:rsidR="000E02F5" w14:paraId="7BC1366D" w14:textId="77777777" w:rsidTr="000E02F5">
        <w:tc>
          <w:tcPr>
            <w:tcW w:w="1350" w:type="dxa"/>
            <w:shd w:val="clear" w:color="auto" w:fill="auto"/>
            <w:tcMar>
              <w:top w:w="100" w:type="dxa"/>
              <w:left w:w="100" w:type="dxa"/>
              <w:bottom w:w="100" w:type="dxa"/>
              <w:right w:w="100" w:type="dxa"/>
            </w:tcMar>
          </w:tcPr>
          <w:p w14:paraId="3212F839" w14:textId="7642BCD7" w:rsidR="007D5AF3" w:rsidRDefault="007D5AF3" w:rsidP="000E02F5">
            <w:pPr>
              <w:widowControl w:val="0"/>
              <w:pBdr>
                <w:top w:val="nil"/>
                <w:left w:val="nil"/>
                <w:bottom w:val="nil"/>
                <w:right w:val="nil"/>
                <w:between w:val="nil"/>
              </w:pBdr>
              <w:jc w:val="center"/>
              <w:rPr>
                <w:sz w:val="22"/>
                <w:szCs w:val="22"/>
              </w:rPr>
            </w:pPr>
          </w:p>
        </w:tc>
        <w:tc>
          <w:tcPr>
            <w:tcW w:w="900" w:type="dxa"/>
            <w:shd w:val="clear" w:color="auto" w:fill="auto"/>
            <w:tcMar>
              <w:top w:w="100" w:type="dxa"/>
              <w:left w:w="100" w:type="dxa"/>
              <w:bottom w:w="100" w:type="dxa"/>
              <w:right w:w="100" w:type="dxa"/>
            </w:tcMar>
          </w:tcPr>
          <w:p w14:paraId="1CC979B4"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count</w:t>
            </w:r>
          </w:p>
        </w:tc>
        <w:tc>
          <w:tcPr>
            <w:tcW w:w="990" w:type="dxa"/>
            <w:shd w:val="clear" w:color="auto" w:fill="auto"/>
            <w:tcMar>
              <w:top w:w="100" w:type="dxa"/>
              <w:left w:w="100" w:type="dxa"/>
              <w:bottom w:w="100" w:type="dxa"/>
              <w:right w:w="100" w:type="dxa"/>
            </w:tcMar>
          </w:tcPr>
          <w:p w14:paraId="784E9D71" w14:textId="74AC962F"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mean</w:t>
            </w:r>
          </w:p>
        </w:tc>
        <w:tc>
          <w:tcPr>
            <w:tcW w:w="900" w:type="dxa"/>
            <w:shd w:val="clear" w:color="auto" w:fill="auto"/>
            <w:tcMar>
              <w:top w:w="100" w:type="dxa"/>
              <w:left w:w="100" w:type="dxa"/>
              <w:bottom w:w="100" w:type="dxa"/>
              <w:right w:w="100" w:type="dxa"/>
            </w:tcMar>
          </w:tcPr>
          <w:p w14:paraId="7AFAFAF2" w14:textId="1C0A866F"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std</w:t>
            </w:r>
          </w:p>
        </w:tc>
        <w:tc>
          <w:tcPr>
            <w:tcW w:w="900" w:type="dxa"/>
            <w:shd w:val="clear" w:color="auto" w:fill="auto"/>
            <w:tcMar>
              <w:top w:w="100" w:type="dxa"/>
              <w:left w:w="100" w:type="dxa"/>
              <w:bottom w:w="100" w:type="dxa"/>
              <w:right w:w="100" w:type="dxa"/>
            </w:tcMar>
          </w:tcPr>
          <w:p w14:paraId="097A22B5"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min</w:t>
            </w:r>
          </w:p>
        </w:tc>
        <w:tc>
          <w:tcPr>
            <w:tcW w:w="990" w:type="dxa"/>
            <w:shd w:val="clear" w:color="auto" w:fill="auto"/>
            <w:tcMar>
              <w:top w:w="100" w:type="dxa"/>
              <w:left w:w="100" w:type="dxa"/>
              <w:bottom w:w="100" w:type="dxa"/>
              <w:right w:w="100" w:type="dxa"/>
            </w:tcMar>
          </w:tcPr>
          <w:p w14:paraId="2D9238EB" w14:textId="5AD3FF74"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25%</w:t>
            </w:r>
          </w:p>
        </w:tc>
        <w:tc>
          <w:tcPr>
            <w:tcW w:w="900" w:type="dxa"/>
            <w:shd w:val="clear" w:color="auto" w:fill="auto"/>
            <w:tcMar>
              <w:top w:w="100" w:type="dxa"/>
              <w:left w:w="100" w:type="dxa"/>
              <w:bottom w:w="100" w:type="dxa"/>
              <w:right w:w="100" w:type="dxa"/>
            </w:tcMar>
          </w:tcPr>
          <w:p w14:paraId="5D9E6DEE"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50%</w:t>
            </w:r>
          </w:p>
        </w:tc>
        <w:tc>
          <w:tcPr>
            <w:tcW w:w="900" w:type="dxa"/>
            <w:shd w:val="clear" w:color="auto" w:fill="auto"/>
            <w:tcMar>
              <w:top w:w="100" w:type="dxa"/>
              <w:left w:w="100" w:type="dxa"/>
              <w:bottom w:w="100" w:type="dxa"/>
              <w:right w:w="100" w:type="dxa"/>
            </w:tcMar>
          </w:tcPr>
          <w:p w14:paraId="21EC2625" w14:textId="77777777" w:rsidR="007D5AF3" w:rsidRPr="000E02F5" w:rsidRDefault="00000000" w:rsidP="000E02F5">
            <w:pPr>
              <w:widowControl w:val="0"/>
              <w:jc w:val="center"/>
              <w:rPr>
                <w:sz w:val="20"/>
                <w:szCs w:val="20"/>
              </w:rPr>
            </w:pPr>
            <w:r w:rsidRPr="000E02F5">
              <w:rPr>
                <w:sz w:val="20"/>
                <w:szCs w:val="20"/>
              </w:rPr>
              <w:t>75%</w:t>
            </w:r>
          </w:p>
        </w:tc>
        <w:tc>
          <w:tcPr>
            <w:tcW w:w="720" w:type="dxa"/>
            <w:shd w:val="clear" w:color="auto" w:fill="auto"/>
            <w:tcMar>
              <w:top w:w="100" w:type="dxa"/>
              <w:left w:w="100" w:type="dxa"/>
              <w:bottom w:w="100" w:type="dxa"/>
              <w:right w:w="100" w:type="dxa"/>
            </w:tcMar>
          </w:tcPr>
          <w:p w14:paraId="7B801561"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max</w:t>
            </w:r>
          </w:p>
        </w:tc>
      </w:tr>
      <w:tr w:rsidR="000E02F5" w14:paraId="78F58C58" w14:textId="77777777" w:rsidTr="000E02F5">
        <w:trPr>
          <w:trHeight w:val="222"/>
        </w:trPr>
        <w:tc>
          <w:tcPr>
            <w:tcW w:w="1350" w:type="dxa"/>
            <w:shd w:val="clear" w:color="auto" w:fill="auto"/>
            <w:tcMar>
              <w:top w:w="100" w:type="dxa"/>
              <w:left w:w="100" w:type="dxa"/>
              <w:bottom w:w="100" w:type="dxa"/>
              <w:right w:w="100" w:type="dxa"/>
            </w:tcMar>
          </w:tcPr>
          <w:p w14:paraId="3E51EE1B" w14:textId="77777777" w:rsidR="007D5AF3" w:rsidRDefault="00000000" w:rsidP="000E02F5">
            <w:pPr>
              <w:spacing w:line="360" w:lineRule="auto"/>
              <w:rPr>
                <w:sz w:val="22"/>
                <w:szCs w:val="22"/>
              </w:rPr>
            </w:pPr>
            <w:r w:rsidRPr="000E02F5">
              <w:rPr>
                <w:sz w:val="20"/>
                <w:szCs w:val="20"/>
              </w:rPr>
              <w:t>%_vaccinated</w:t>
            </w:r>
          </w:p>
        </w:tc>
        <w:tc>
          <w:tcPr>
            <w:tcW w:w="900" w:type="dxa"/>
            <w:shd w:val="clear" w:color="auto" w:fill="auto"/>
            <w:tcMar>
              <w:top w:w="100" w:type="dxa"/>
              <w:left w:w="100" w:type="dxa"/>
              <w:bottom w:w="100" w:type="dxa"/>
              <w:right w:w="100" w:type="dxa"/>
            </w:tcMar>
          </w:tcPr>
          <w:p w14:paraId="68285B0C"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2,477</w:t>
            </w:r>
          </w:p>
        </w:tc>
        <w:tc>
          <w:tcPr>
            <w:tcW w:w="990" w:type="dxa"/>
            <w:shd w:val="clear" w:color="auto" w:fill="auto"/>
            <w:tcMar>
              <w:top w:w="100" w:type="dxa"/>
              <w:left w:w="100" w:type="dxa"/>
              <w:bottom w:w="100" w:type="dxa"/>
              <w:right w:w="100" w:type="dxa"/>
            </w:tcMar>
          </w:tcPr>
          <w:p w14:paraId="6F39C202"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52.16</w:t>
            </w:r>
          </w:p>
        </w:tc>
        <w:tc>
          <w:tcPr>
            <w:tcW w:w="900" w:type="dxa"/>
            <w:shd w:val="clear" w:color="auto" w:fill="auto"/>
            <w:tcMar>
              <w:top w:w="100" w:type="dxa"/>
              <w:left w:w="100" w:type="dxa"/>
              <w:bottom w:w="100" w:type="dxa"/>
              <w:right w:w="100" w:type="dxa"/>
            </w:tcMar>
          </w:tcPr>
          <w:p w14:paraId="15D4C116"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7.87</w:t>
            </w:r>
          </w:p>
        </w:tc>
        <w:tc>
          <w:tcPr>
            <w:tcW w:w="900" w:type="dxa"/>
            <w:shd w:val="clear" w:color="auto" w:fill="auto"/>
            <w:tcMar>
              <w:top w:w="100" w:type="dxa"/>
              <w:left w:w="100" w:type="dxa"/>
              <w:bottom w:w="100" w:type="dxa"/>
              <w:right w:w="100" w:type="dxa"/>
            </w:tcMar>
          </w:tcPr>
          <w:p w14:paraId="1E00344C"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25.60</w:t>
            </w:r>
          </w:p>
        </w:tc>
        <w:tc>
          <w:tcPr>
            <w:tcW w:w="990" w:type="dxa"/>
            <w:shd w:val="clear" w:color="auto" w:fill="auto"/>
            <w:tcMar>
              <w:top w:w="100" w:type="dxa"/>
              <w:left w:w="100" w:type="dxa"/>
              <w:bottom w:w="100" w:type="dxa"/>
              <w:right w:w="100" w:type="dxa"/>
            </w:tcMar>
          </w:tcPr>
          <w:p w14:paraId="08E31025"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47.50</w:t>
            </w:r>
          </w:p>
        </w:tc>
        <w:tc>
          <w:tcPr>
            <w:tcW w:w="900" w:type="dxa"/>
            <w:shd w:val="clear" w:color="auto" w:fill="auto"/>
            <w:tcMar>
              <w:top w:w="100" w:type="dxa"/>
              <w:left w:w="100" w:type="dxa"/>
              <w:bottom w:w="100" w:type="dxa"/>
              <w:right w:w="100" w:type="dxa"/>
            </w:tcMar>
          </w:tcPr>
          <w:p w14:paraId="09EF0854"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52.80</w:t>
            </w:r>
          </w:p>
        </w:tc>
        <w:tc>
          <w:tcPr>
            <w:tcW w:w="900" w:type="dxa"/>
            <w:shd w:val="clear" w:color="auto" w:fill="auto"/>
            <w:tcMar>
              <w:top w:w="100" w:type="dxa"/>
              <w:left w:w="100" w:type="dxa"/>
              <w:bottom w:w="100" w:type="dxa"/>
              <w:right w:w="100" w:type="dxa"/>
            </w:tcMar>
          </w:tcPr>
          <w:p w14:paraId="321F2A6D" w14:textId="77777777"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57.50</w:t>
            </w:r>
          </w:p>
        </w:tc>
        <w:tc>
          <w:tcPr>
            <w:tcW w:w="720" w:type="dxa"/>
            <w:shd w:val="clear" w:color="auto" w:fill="auto"/>
            <w:tcMar>
              <w:top w:w="100" w:type="dxa"/>
              <w:left w:w="100" w:type="dxa"/>
              <w:bottom w:w="100" w:type="dxa"/>
              <w:right w:w="100" w:type="dxa"/>
            </w:tcMar>
          </w:tcPr>
          <w:p w14:paraId="70AB5C01" w14:textId="38F3A662" w:rsidR="007D5AF3" w:rsidRPr="000E02F5" w:rsidRDefault="00000000" w:rsidP="000E02F5">
            <w:pPr>
              <w:widowControl w:val="0"/>
              <w:pBdr>
                <w:top w:val="nil"/>
                <w:left w:val="nil"/>
                <w:bottom w:val="nil"/>
                <w:right w:val="nil"/>
                <w:between w:val="nil"/>
              </w:pBdr>
              <w:jc w:val="center"/>
              <w:rPr>
                <w:sz w:val="20"/>
                <w:szCs w:val="20"/>
              </w:rPr>
            </w:pPr>
            <w:r w:rsidRPr="000E02F5">
              <w:rPr>
                <w:sz w:val="20"/>
                <w:szCs w:val="20"/>
              </w:rPr>
              <w:t>79.50</w:t>
            </w:r>
          </w:p>
        </w:tc>
      </w:tr>
    </w:tbl>
    <w:p w14:paraId="1F0BDE4A" w14:textId="77777777" w:rsidR="000E02F5" w:rsidRDefault="000E02F5" w:rsidP="000E02F5">
      <w:pPr>
        <w:spacing w:line="360" w:lineRule="auto"/>
        <w:ind w:left="720"/>
        <w:rPr>
          <w:color w:val="000000"/>
        </w:rPr>
      </w:pPr>
    </w:p>
    <w:p w14:paraId="7F160114" w14:textId="0630F3F6" w:rsidR="007D5AF3" w:rsidRDefault="00000000" w:rsidP="000E02F5">
      <w:pPr>
        <w:spacing w:line="360" w:lineRule="auto"/>
        <w:ind w:left="720"/>
        <w:rPr>
          <w:color w:val="000000"/>
        </w:rPr>
      </w:pPr>
      <w:r>
        <w:rPr>
          <w:noProof/>
          <w:color w:val="000000"/>
        </w:rPr>
        <w:lastRenderedPageBreak/>
        <w:drawing>
          <wp:inline distT="0" distB="0" distL="0" distR="0" wp14:anchorId="40BAF328" wp14:editId="76FC7B23">
            <wp:extent cx="5444067" cy="3488267"/>
            <wp:effectExtent l="0" t="0" r="4445" b="0"/>
            <wp:docPr id="8" name="image4.png" descr="A graph of vaccin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of vaccination&#10;&#10;Description automatically generated"/>
                    <pic:cNvPicPr preferRelativeResize="0"/>
                  </pic:nvPicPr>
                  <pic:blipFill>
                    <a:blip r:embed="rId11"/>
                    <a:srcRect/>
                    <a:stretch>
                      <a:fillRect/>
                    </a:stretch>
                  </pic:blipFill>
                  <pic:spPr>
                    <a:xfrm>
                      <a:off x="0" y="0"/>
                      <a:ext cx="5455985" cy="3495903"/>
                    </a:xfrm>
                    <a:prstGeom prst="rect">
                      <a:avLst/>
                    </a:prstGeom>
                    <a:ln/>
                  </pic:spPr>
                </pic:pic>
              </a:graphicData>
            </a:graphic>
          </wp:inline>
        </w:drawing>
      </w:r>
    </w:p>
    <w:p w14:paraId="0A3458E0" w14:textId="77777777" w:rsidR="007D5AF3" w:rsidRDefault="00000000" w:rsidP="000E02F5">
      <w:pPr>
        <w:spacing w:line="360" w:lineRule="auto"/>
        <w:ind w:left="720"/>
      </w:pPr>
      <w:r>
        <w:rPr>
          <w:color w:val="0D0D0D"/>
          <w:highlight w:val="white"/>
        </w:rPr>
        <w:t>Additionally, we conducted correlation analyses between the target variable "Percent Vaccinated" and the remaining variables. Presented below is a summary of the most positively and negatively correlated findings:</w:t>
      </w:r>
    </w:p>
    <w:tbl>
      <w:tblPr>
        <w:tblStyle w:val="a0"/>
        <w:tblW w:w="864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4680"/>
      </w:tblGrid>
      <w:tr w:rsidR="007D5AF3" w14:paraId="566C0328" w14:textId="77777777" w:rsidTr="000E02F5">
        <w:tc>
          <w:tcPr>
            <w:tcW w:w="3960" w:type="dxa"/>
            <w:shd w:val="clear" w:color="auto" w:fill="auto"/>
            <w:tcMar>
              <w:top w:w="100" w:type="dxa"/>
              <w:left w:w="100" w:type="dxa"/>
              <w:bottom w:w="100" w:type="dxa"/>
              <w:right w:w="100" w:type="dxa"/>
            </w:tcMar>
          </w:tcPr>
          <w:p w14:paraId="298CC437" w14:textId="343A9E1A" w:rsidR="007D5AF3" w:rsidRDefault="00000000">
            <w:pPr>
              <w:widowControl w:val="0"/>
              <w:pBdr>
                <w:top w:val="nil"/>
                <w:left w:val="nil"/>
                <w:bottom w:val="nil"/>
                <w:right w:val="nil"/>
                <w:between w:val="nil"/>
              </w:pBdr>
              <w:jc w:val="center"/>
            </w:pPr>
            <w:r>
              <w:t>Most Positive Correlations</w:t>
            </w:r>
          </w:p>
        </w:tc>
        <w:tc>
          <w:tcPr>
            <w:tcW w:w="4680" w:type="dxa"/>
            <w:shd w:val="clear" w:color="auto" w:fill="auto"/>
            <w:tcMar>
              <w:top w:w="100" w:type="dxa"/>
              <w:left w:w="100" w:type="dxa"/>
              <w:bottom w:w="100" w:type="dxa"/>
              <w:right w:w="100" w:type="dxa"/>
            </w:tcMar>
          </w:tcPr>
          <w:p w14:paraId="18502A1B" w14:textId="77777777" w:rsidR="007D5AF3" w:rsidRDefault="007D5AF3">
            <w:pPr>
              <w:widowControl w:val="0"/>
              <w:pBdr>
                <w:top w:val="nil"/>
                <w:left w:val="nil"/>
                <w:bottom w:val="nil"/>
                <w:right w:val="nil"/>
                <w:between w:val="nil"/>
              </w:pBdr>
              <w:jc w:val="both"/>
            </w:pPr>
          </w:p>
        </w:tc>
      </w:tr>
      <w:tr w:rsidR="007D5AF3" w14:paraId="34E91F19" w14:textId="77777777" w:rsidTr="000E02F5">
        <w:trPr>
          <w:trHeight w:val="353"/>
        </w:trPr>
        <w:tc>
          <w:tcPr>
            <w:tcW w:w="3960" w:type="dxa"/>
            <w:shd w:val="clear" w:color="auto" w:fill="auto"/>
            <w:tcMar>
              <w:top w:w="100" w:type="dxa"/>
              <w:left w:w="100" w:type="dxa"/>
              <w:bottom w:w="100" w:type="dxa"/>
              <w:right w:w="100" w:type="dxa"/>
            </w:tcMar>
          </w:tcPr>
          <w:p w14:paraId="08C1FBF6" w14:textId="77777777" w:rsidR="007D5AF3" w:rsidRDefault="00000000">
            <w:pPr>
              <w:pBdr>
                <w:top w:val="nil"/>
                <w:left w:val="nil"/>
                <w:bottom w:val="nil"/>
                <w:right w:val="nil"/>
                <w:between w:val="nil"/>
              </w:pBdr>
              <w:spacing w:line="360" w:lineRule="auto"/>
              <w:jc w:val="both"/>
            </w:pPr>
            <w:r>
              <w:t>revenues_per_capita_PIT</w:t>
            </w:r>
          </w:p>
        </w:tc>
        <w:tc>
          <w:tcPr>
            <w:tcW w:w="4680" w:type="dxa"/>
            <w:shd w:val="clear" w:color="auto" w:fill="auto"/>
            <w:tcMar>
              <w:top w:w="100" w:type="dxa"/>
              <w:left w:w="100" w:type="dxa"/>
              <w:bottom w:w="100" w:type="dxa"/>
              <w:right w:w="100" w:type="dxa"/>
            </w:tcMar>
          </w:tcPr>
          <w:p w14:paraId="14EBCB76" w14:textId="77777777" w:rsidR="007D5AF3" w:rsidRDefault="00000000">
            <w:pPr>
              <w:widowControl w:val="0"/>
              <w:pBdr>
                <w:top w:val="nil"/>
                <w:left w:val="nil"/>
                <w:bottom w:val="nil"/>
                <w:right w:val="nil"/>
                <w:between w:val="nil"/>
              </w:pBdr>
              <w:jc w:val="center"/>
            </w:pPr>
            <w:r>
              <w:t>0.567301</w:t>
            </w:r>
          </w:p>
        </w:tc>
      </w:tr>
      <w:tr w:rsidR="007D5AF3" w14:paraId="395E3C50" w14:textId="77777777" w:rsidTr="000E02F5">
        <w:tc>
          <w:tcPr>
            <w:tcW w:w="3960" w:type="dxa"/>
            <w:shd w:val="clear" w:color="auto" w:fill="auto"/>
            <w:tcMar>
              <w:top w:w="100" w:type="dxa"/>
              <w:left w:w="100" w:type="dxa"/>
              <w:bottom w:w="100" w:type="dxa"/>
              <w:right w:w="100" w:type="dxa"/>
            </w:tcMar>
          </w:tcPr>
          <w:p w14:paraId="6E5AC285" w14:textId="77777777" w:rsidR="007D5AF3" w:rsidRDefault="00000000">
            <w:pPr>
              <w:widowControl w:val="0"/>
              <w:pBdr>
                <w:top w:val="nil"/>
                <w:left w:val="nil"/>
                <w:bottom w:val="nil"/>
                <w:right w:val="nil"/>
                <w:between w:val="nil"/>
              </w:pBdr>
              <w:jc w:val="both"/>
            </w:pPr>
            <w:r>
              <w:t>entities_registered_per_10k_persons</w:t>
            </w:r>
          </w:p>
        </w:tc>
        <w:tc>
          <w:tcPr>
            <w:tcW w:w="4680" w:type="dxa"/>
            <w:shd w:val="clear" w:color="auto" w:fill="auto"/>
            <w:tcMar>
              <w:top w:w="100" w:type="dxa"/>
              <w:left w:w="100" w:type="dxa"/>
              <w:bottom w:w="100" w:type="dxa"/>
              <w:right w:w="100" w:type="dxa"/>
            </w:tcMar>
          </w:tcPr>
          <w:p w14:paraId="2AE54A40" w14:textId="77777777" w:rsidR="007D5AF3" w:rsidRDefault="00000000">
            <w:pPr>
              <w:widowControl w:val="0"/>
              <w:pBdr>
                <w:top w:val="nil"/>
                <w:left w:val="nil"/>
                <w:bottom w:val="nil"/>
                <w:right w:val="nil"/>
                <w:between w:val="nil"/>
              </w:pBdr>
              <w:jc w:val="center"/>
            </w:pPr>
            <w:r>
              <w:t>0.520885</w:t>
            </w:r>
          </w:p>
        </w:tc>
      </w:tr>
      <w:tr w:rsidR="007D5AF3" w14:paraId="4B44957C" w14:textId="77777777" w:rsidTr="000E02F5">
        <w:tc>
          <w:tcPr>
            <w:tcW w:w="3960" w:type="dxa"/>
            <w:shd w:val="clear" w:color="auto" w:fill="auto"/>
            <w:tcMar>
              <w:top w:w="100" w:type="dxa"/>
              <w:left w:w="100" w:type="dxa"/>
              <w:bottom w:w="100" w:type="dxa"/>
              <w:right w:w="100" w:type="dxa"/>
            </w:tcMar>
          </w:tcPr>
          <w:p w14:paraId="6F3C9257" w14:textId="77777777" w:rsidR="007D5AF3" w:rsidRDefault="00000000">
            <w:pPr>
              <w:widowControl w:val="0"/>
              <w:pBdr>
                <w:top w:val="nil"/>
                <w:left w:val="nil"/>
                <w:bottom w:val="nil"/>
                <w:right w:val="nil"/>
                <w:between w:val="nil"/>
              </w:pBdr>
              <w:jc w:val="both"/>
            </w:pPr>
            <w:r>
              <w:t xml:space="preserve">installations_bathroom </w:t>
            </w:r>
          </w:p>
        </w:tc>
        <w:tc>
          <w:tcPr>
            <w:tcW w:w="4680" w:type="dxa"/>
            <w:shd w:val="clear" w:color="auto" w:fill="auto"/>
            <w:tcMar>
              <w:top w:w="100" w:type="dxa"/>
              <w:left w:w="100" w:type="dxa"/>
              <w:bottom w:w="100" w:type="dxa"/>
              <w:right w:w="100" w:type="dxa"/>
            </w:tcMar>
          </w:tcPr>
          <w:p w14:paraId="01C7062D" w14:textId="77777777" w:rsidR="007D5AF3" w:rsidRDefault="00000000">
            <w:pPr>
              <w:widowControl w:val="0"/>
              <w:pBdr>
                <w:top w:val="nil"/>
                <w:left w:val="nil"/>
                <w:bottom w:val="nil"/>
                <w:right w:val="nil"/>
                <w:between w:val="nil"/>
              </w:pBdr>
              <w:jc w:val="center"/>
            </w:pPr>
            <w:r>
              <w:t>0.404143</w:t>
            </w:r>
          </w:p>
        </w:tc>
      </w:tr>
      <w:tr w:rsidR="007D5AF3" w14:paraId="46996F09" w14:textId="77777777" w:rsidTr="000E02F5">
        <w:tc>
          <w:tcPr>
            <w:tcW w:w="3960" w:type="dxa"/>
            <w:shd w:val="clear" w:color="auto" w:fill="auto"/>
            <w:tcMar>
              <w:top w:w="100" w:type="dxa"/>
              <w:left w:w="100" w:type="dxa"/>
              <w:bottom w:w="100" w:type="dxa"/>
              <w:right w:w="100" w:type="dxa"/>
            </w:tcMar>
          </w:tcPr>
          <w:p w14:paraId="2127852D" w14:textId="77777777" w:rsidR="007D5AF3" w:rsidRDefault="00000000">
            <w:pPr>
              <w:widowControl w:val="0"/>
              <w:pBdr>
                <w:top w:val="nil"/>
                <w:left w:val="nil"/>
                <w:bottom w:val="nil"/>
                <w:right w:val="nil"/>
                <w:between w:val="nil"/>
              </w:pBdr>
              <w:jc w:val="both"/>
            </w:pPr>
            <w:r>
              <w:t xml:space="preserve">installations_central_heating </w:t>
            </w:r>
          </w:p>
        </w:tc>
        <w:tc>
          <w:tcPr>
            <w:tcW w:w="4680" w:type="dxa"/>
            <w:shd w:val="clear" w:color="auto" w:fill="auto"/>
            <w:tcMar>
              <w:top w:w="100" w:type="dxa"/>
              <w:left w:w="100" w:type="dxa"/>
              <w:bottom w:w="100" w:type="dxa"/>
              <w:right w:w="100" w:type="dxa"/>
            </w:tcMar>
          </w:tcPr>
          <w:p w14:paraId="042CD2A3" w14:textId="77777777" w:rsidR="007D5AF3" w:rsidRDefault="00000000">
            <w:pPr>
              <w:widowControl w:val="0"/>
              <w:pBdr>
                <w:top w:val="nil"/>
                <w:left w:val="nil"/>
                <w:bottom w:val="nil"/>
                <w:right w:val="nil"/>
                <w:between w:val="nil"/>
              </w:pBdr>
              <w:jc w:val="center"/>
            </w:pPr>
            <w:r>
              <w:t>0.403375</w:t>
            </w:r>
          </w:p>
        </w:tc>
      </w:tr>
      <w:tr w:rsidR="007D5AF3" w14:paraId="0DB3C4D2" w14:textId="77777777" w:rsidTr="000E02F5">
        <w:tc>
          <w:tcPr>
            <w:tcW w:w="3960" w:type="dxa"/>
            <w:shd w:val="clear" w:color="auto" w:fill="auto"/>
            <w:tcMar>
              <w:top w:w="100" w:type="dxa"/>
              <w:left w:w="100" w:type="dxa"/>
              <w:bottom w:w="100" w:type="dxa"/>
              <w:right w:w="100" w:type="dxa"/>
            </w:tcMar>
          </w:tcPr>
          <w:p w14:paraId="0745927A" w14:textId="77777777" w:rsidR="007D5AF3" w:rsidRDefault="00000000">
            <w:pPr>
              <w:widowControl w:val="0"/>
              <w:pBdr>
                <w:top w:val="nil"/>
                <w:left w:val="nil"/>
                <w:bottom w:val="nil"/>
                <w:right w:val="nil"/>
                <w:between w:val="nil"/>
              </w:pBdr>
              <w:jc w:val="both"/>
            </w:pPr>
            <w:r>
              <w:t xml:space="preserve">urbanization_rate </w:t>
            </w:r>
          </w:p>
        </w:tc>
        <w:tc>
          <w:tcPr>
            <w:tcW w:w="4680" w:type="dxa"/>
            <w:shd w:val="clear" w:color="auto" w:fill="auto"/>
            <w:tcMar>
              <w:top w:w="100" w:type="dxa"/>
              <w:left w:w="100" w:type="dxa"/>
              <w:bottom w:w="100" w:type="dxa"/>
              <w:right w:w="100" w:type="dxa"/>
            </w:tcMar>
          </w:tcPr>
          <w:p w14:paraId="1310FC82" w14:textId="5BB47007" w:rsidR="007D5AF3" w:rsidRDefault="00000000">
            <w:pPr>
              <w:widowControl w:val="0"/>
              <w:pBdr>
                <w:top w:val="nil"/>
                <w:left w:val="nil"/>
                <w:bottom w:val="nil"/>
                <w:right w:val="nil"/>
                <w:between w:val="nil"/>
              </w:pBdr>
              <w:jc w:val="center"/>
            </w:pPr>
            <w:r>
              <w:t>0.398975</w:t>
            </w:r>
          </w:p>
        </w:tc>
      </w:tr>
    </w:tbl>
    <w:p w14:paraId="44926B9B" w14:textId="77777777" w:rsidR="007D5AF3" w:rsidRDefault="007D5AF3">
      <w:pPr>
        <w:spacing w:line="360" w:lineRule="auto"/>
        <w:jc w:val="both"/>
      </w:pPr>
    </w:p>
    <w:p w14:paraId="4036DF71" w14:textId="77777777" w:rsidR="007D5AF3" w:rsidRDefault="007D5AF3">
      <w:pPr>
        <w:spacing w:line="360" w:lineRule="auto"/>
        <w:jc w:val="both"/>
      </w:pPr>
    </w:p>
    <w:p w14:paraId="5EA6F868" w14:textId="77777777" w:rsidR="00F636EB" w:rsidRDefault="00F636EB">
      <w:pPr>
        <w:spacing w:line="360" w:lineRule="auto"/>
        <w:jc w:val="both"/>
      </w:pPr>
    </w:p>
    <w:p w14:paraId="28F72D21" w14:textId="77777777" w:rsidR="00F636EB" w:rsidRDefault="00F636EB">
      <w:pPr>
        <w:spacing w:line="360" w:lineRule="auto"/>
        <w:jc w:val="both"/>
      </w:pPr>
    </w:p>
    <w:p w14:paraId="4A8173AF" w14:textId="77777777" w:rsidR="00F636EB" w:rsidRDefault="00F636EB">
      <w:pPr>
        <w:spacing w:line="360" w:lineRule="auto"/>
        <w:jc w:val="both"/>
      </w:pPr>
    </w:p>
    <w:p w14:paraId="23E74377" w14:textId="77777777" w:rsidR="00F636EB" w:rsidRDefault="00F636EB">
      <w:pPr>
        <w:spacing w:line="360" w:lineRule="auto"/>
        <w:jc w:val="both"/>
      </w:pPr>
    </w:p>
    <w:tbl>
      <w:tblPr>
        <w:tblStyle w:val="a1"/>
        <w:tblW w:w="865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0"/>
        <w:gridCol w:w="4680"/>
      </w:tblGrid>
      <w:tr w:rsidR="007D5AF3" w14:paraId="52214604" w14:textId="77777777" w:rsidTr="000E02F5">
        <w:tc>
          <w:tcPr>
            <w:tcW w:w="3970" w:type="dxa"/>
            <w:shd w:val="clear" w:color="auto" w:fill="auto"/>
            <w:tcMar>
              <w:top w:w="100" w:type="dxa"/>
              <w:left w:w="100" w:type="dxa"/>
              <w:bottom w:w="100" w:type="dxa"/>
              <w:right w:w="100" w:type="dxa"/>
            </w:tcMar>
          </w:tcPr>
          <w:p w14:paraId="1426CC7E" w14:textId="013AF719" w:rsidR="007D5AF3" w:rsidRDefault="00000000">
            <w:pPr>
              <w:widowControl w:val="0"/>
              <w:jc w:val="center"/>
            </w:pPr>
            <w:r>
              <w:lastRenderedPageBreak/>
              <w:t>Most Negative Correlations</w:t>
            </w:r>
          </w:p>
        </w:tc>
        <w:tc>
          <w:tcPr>
            <w:tcW w:w="4680" w:type="dxa"/>
            <w:shd w:val="clear" w:color="auto" w:fill="auto"/>
            <w:tcMar>
              <w:top w:w="100" w:type="dxa"/>
              <w:left w:w="100" w:type="dxa"/>
              <w:bottom w:w="100" w:type="dxa"/>
              <w:right w:w="100" w:type="dxa"/>
            </w:tcMar>
          </w:tcPr>
          <w:p w14:paraId="2F7FBA77" w14:textId="77777777" w:rsidR="007D5AF3" w:rsidRDefault="007D5AF3">
            <w:pPr>
              <w:widowControl w:val="0"/>
              <w:jc w:val="both"/>
            </w:pPr>
          </w:p>
        </w:tc>
      </w:tr>
      <w:tr w:rsidR="007D5AF3" w14:paraId="3F2C3E56" w14:textId="77777777" w:rsidTr="000E02F5">
        <w:trPr>
          <w:trHeight w:val="323"/>
        </w:trPr>
        <w:tc>
          <w:tcPr>
            <w:tcW w:w="3970" w:type="dxa"/>
            <w:shd w:val="clear" w:color="auto" w:fill="auto"/>
            <w:tcMar>
              <w:top w:w="100" w:type="dxa"/>
              <w:left w:w="100" w:type="dxa"/>
              <w:bottom w:w="100" w:type="dxa"/>
              <w:right w:w="100" w:type="dxa"/>
            </w:tcMar>
          </w:tcPr>
          <w:p w14:paraId="6187D8AC" w14:textId="77777777" w:rsidR="007D5AF3" w:rsidRDefault="00000000">
            <w:pPr>
              <w:spacing w:line="360" w:lineRule="auto"/>
              <w:jc w:val="both"/>
            </w:pPr>
            <w:r>
              <w:t>persons_per_appartment</w:t>
            </w:r>
          </w:p>
        </w:tc>
        <w:tc>
          <w:tcPr>
            <w:tcW w:w="4680" w:type="dxa"/>
            <w:shd w:val="clear" w:color="auto" w:fill="auto"/>
            <w:tcMar>
              <w:top w:w="100" w:type="dxa"/>
              <w:left w:w="100" w:type="dxa"/>
              <w:bottom w:w="100" w:type="dxa"/>
              <w:right w:w="100" w:type="dxa"/>
            </w:tcMar>
          </w:tcPr>
          <w:p w14:paraId="33903ACB" w14:textId="77777777" w:rsidR="007D5AF3" w:rsidRDefault="00000000">
            <w:pPr>
              <w:widowControl w:val="0"/>
              <w:jc w:val="center"/>
            </w:pPr>
            <w:r>
              <w:t>-0.423180</w:t>
            </w:r>
          </w:p>
        </w:tc>
      </w:tr>
      <w:tr w:rsidR="007D5AF3" w14:paraId="17A48D33" w14:textId="77777777" w:rsidTr="000E02F5">
        <w:tc>
          <w:tcPr>
            <w:tcW w:w="3970" w:type="dxa"/>
            <w:shd w:val="clear" w:color="auto" w:fill="auto"/>
            <w:tcMar>
              <w:top w:w="100" w:type="dxa"/>
              <w:left w:w="100" w:type="dxa"/>
              <w:bottom w:w="100" w:type="dxa"/>
              <w:right w:w="100" w:type="dxa"/>
            </w:tcMar>
          </w:tcPr>
          <w:p w14:paraId="1F6032C0" w14:textId="77777777" w:rsidR="007D5AF3" w:rsidRDefault="00000000">
            <w:pPr>
              <w:widowControl w:val="0"/>
              <w:jc w:val="both"/>
            </w:pPr>
            <w:r>
              <w:t>forests_area</w:t>
            </w:r>
          </w:p>
        </w:tc>
        <w:tc>
          <w:tcPr>
            <w:tcW w:w="4680" w:type="dxa"/>
            <w:shd w:val="clear" w:color="auto" w:fill="auto"/>
            <w:tcMar>
              <w:top w:w="100" w:type="dxa"/>
              <w:left w:w="100" w:type="dxa"/>
              <w:bottom w:w="100" w:type="dxa"/>
              <w:right w:w="100" w:type="dxa"/>
            </w:tcMar>
          </w:tcPr>
          <w:p w14:paraId="4887AA7E" w14:textId="77777777" w:rsidR="007D5AF3" w:rsidRDefault="00000000">
            <w:pPr>
              <w:widowControl w:val="0"/>
              <w:jc w:val="center"/>
            </w:pPr>
            <w:r>
              <w:t>-0.403692</w:t>
            </w:r>
          </w:p>
        </w:tc>
      </w:tr>
      <w:tr w:rsidR="007D5AF3" w14:paraId="60EE81D7" w14:textId="77777777" w:rsidTr="000E02F5">
        <w:tc>
          <w:tcPr>
            <w:tcW w:w="3970" w:type="dxa"/>
            <w:shd w:val="clear" w:color="auto" w:fill="auto"/>
            <w:tcMar>
              <w:top w:w="100" w:type="dxa"/>
              <w:left w:w="100" w:type="dxa"/>
              <w:bottom w:w="100" w:type="dxa"/>
              <w:right w:w="100" w:type="dxa"/>
            </w:tcMar>
          </w:tcPr>
          <w:p w14:paraId="1EC9A6CF" w14:textId="77777777" w:rsidR="007D5AF3" w:rsidRDefault="00000000">
            <w:pPr>
              <w:widowControl w:val="0"/>
              <w:jc w:val="both"/>
            </w:pPr>
            <w:r>
              <w:t>persons_per_room</w:t>
            </w:r>
          </w:p>
        </w:tc>
        <w:tc>
          <w:tcPr>
            <w:tcW w:w="4680" w:type="dxa"/>
            <w:shd w:val="clear" w:color="auto" w:fill="auto"/>
            <w:tcMar>
              <w:top w:w="100" w:type="dxa"/>
              <w:left w:w="100" w:type="dxa"/>
              <w:bottom w:w="100" w:type="dxa"/>
              <w:right w:w="100" w:type="dxa"/>
            </w:tcMar>
          </w:tcPr>
          <w:p w14:paraId="39111F67" w14:textId="77777777" w:rsidR="007D5AF3" w:rsidRDefault="00000000">
            <w:pPr>
              <w:widowControl w:val="0"/>
              <w:jc w:val="center"/>
            </w:pPr>
            <w:r>
              <w:t>-0.360355</w:t>
            </w:r>
          </w:p>
        </w:tc>
      </w:tr>
      <w:tr w:rsidR="007D5AF3" w14:paraId="005FFCB5" w14:textId="77777777" w:rsidTr="000E02F5">
        <w:tc>
          <w:tcPr>
            <w:tcW w:w="3970" w:type="dxa"/>
            <w:shd w:val="clear" w:color="auto" w:fill="auto"/>
            <w:tcMar>
              <w:top w:w="100" w:type="dxa"/>
              <w:left w:w="100" w:type="dxa"/>
              <w:bottom w:w="100" w:type="dxa"/>
              <w:right w:w="100" w:type="dxa"/>
            </w:tcMar>
          </w:tcPr>
          <w:p w14:paraId="38F803A0" w14:textId="77777777" w:rsidR="007D5AF3" w:rsidRDefault="00000000">
            <w:pPr>
              <w:widowControl w:val="0"/>
              <w:jc w:val="both"/>
            </w:pPr>
            <w:r>
              <w:t>unemployment_rate_m</w:t>
            </w:r>
          </w:p>
        </w:tc>
        <w:tc>
          <w:tcPr>
            <w:tcW w:w="4680" w:type="dxa"/>
            <w:shd w:val="clear" w:color="auto" w:fill="auto"/>
            <w:tcMar>
              <w:top w:w="100" w:type="dxa"/>
              <w:left w:w="100" w:type="dxa"/>
              <w:bottom w:w="100" w:type="dxa"/>
              <w:right w:w="100" w:type="dxa"/>
            </w:tcMar>
          </w:tcPr>
          <w:p w14:paraId="1DAFE7E5" w14:textId="77777777" w:rsidR="007D5AF3" w:rsidRDefault="00000000">
            <w:pPr>
              <w:widowControl w:val="0"/>
              <w:jc w:val="center"/>
            </w:pPr>
            <w:r>
              <w:t>-0.226878</w:t>
            </w:r>
          </w:p>
        </w:tc>
      </w:tr>
      <w:tr w:rsidR="007D5AF3" w14:paraId="171A13AF" w14:textId="77777777" w:rsidTr="000E02F5">
        <w:tc>
          <w:tcPr>
            <w:tcW w:w="3970" w:type="dxa"/>
            <w:shd w:val="clear" w:color="auto" w:fill="auto"/>
            <w:tcMar>
              <w:top w:w="100" w:type="dxa"/>
              <w:left w:w="100" w:type="dxa"/>
              <w:bottom w:w="100" w:type="dxa"/>
              <w:right w:w="100" w:type="dxa"/>
            </w:tcMar>
          </w:tcPr>
          <w:p w14:paraId="7D6E6E49" w14:textId="77777777" w:rsidR="007D5AF3" w:rsidRDefault="00000000">
            <w:pPr>
              <w:widowControl w:val="0"/>
              <w:jc w:val="both"/>
            </w:pPr>
            <w:r>
              <w:t>unemployment_rate</w:t>
            </w:r>
          </w:p>
        </w:tc>
        <w:tc>
          <w:tcPr>
            <w:tcW w:w="4680" w:type="dxa"/>
            <w:shd w:val="clear" w:color="auto" w:fill="auto"/>
            <w:tcMar>
              <w:top w:w="100" w:type="dxa"/>
              <w:left w:w="100" w:type="dxa"/>
              <w:bottom w:w="100" w:type="dxa"/>
              <w:right w:w="100" w:type="dxa"/>
            </w:tcMar>
          </w:tcPr>
          <w:p w14:paraId="1089F21E" w14:textId="4A8F9459" w:rsidR="007D5AF3" w:rsidRDefault="00000000">
            <w:pPr>
              <w:widowControl w:val="0"/>
              <w:jc w:val="center"/>
            </w:pPr>
            <w:r>
              <w:t>-0.218215</w:t>
            </w:r>
          </w:p>
        </w:tc>
      </w:tr>
    </w:tbl>
    <w:p w14:paraId="146671F5" w14:textId="77777777" w:rsidR="007D5AF3" w:rsidRDefault="007D5AF3">
      <w:pPr>
        <w:spacing w:line="360" w:lineRule="auto"/>
      </w:pPr>
    </w:p>
    <w:p w14:paraId="392E8245" w14:textId="77777777" w:rsidR="007D5AF3" w:rsidRDefault="00000000" w:rsidP="00520117">
      <w:pPr>
        <w:pStyle w:val="Heading3"/>
        <w:numPr>
          <w:ilvl w:val="1"/>
          <w:numId w:val="5"/>
        </w:numPr>
        <w:spacing w:line="360" w:lineRule="auto"/>
        <w:ind w:left="1440" w:hanging="720"/>
        <w:rPr>
          <w:b w:val="0"/>
          <w:color w:val="000000"/>
        </w:rPr>
      </w:pPr>
      <w:bookmarkStart w:id="14" w:name="_Toc166417722"/>
      <w:r>
        <w:t>The Impact of Municipality/City Size</w:t>
      </w:r>
      <w:bookmarkEnd w:id="14"/>
    </w:p>
    <w:p w14:paraId="484868BB" w14:textId="04C30A96" w:rsidR="007D5AF3" w:rsidRDefault="00000000" w:rsidP="00EC656E">
      <w:pPr>
        <w:spacing w:line="360" w:lineRule="auto"/>
        <w:ind w:left="720"/>
        <w:jc w:val="both"/>
        <w:rPr>
          <w:color w:val="000000"/>
        </w:rPr>
      </w:pPr>
      <w:r>
        <w:rPr>
          <w:color w:val="000000"/>
        </w:rPr>
        <w:t>The null hypothesis</w:t>
      </w:r>
      <w:r w:rsidR="00F636EB">
        <w:rPr>
          <w:color w:val="000000"/>
        </w:rPr>
        <w:t xml:space="preserve"> </w:t>
      </w:r>
      <w:r w:rsidR="00F636EB">
        <w:rPr>
          <w:b/>
          <w:bCs/>
          <w:color w:val="000000"/>
        </w:rPr>
        <w:t>(hypothesis 1)</w:t>
      </w:r>
      <w:r>
        <w:rPr>
          <w:color w:val="000000"/>
        </w:rPr>
        <w:t xml:space="preserve"> is that: the size of municipalities/cities matters. Alternative </w:t>
      </w:r>
      <w:r>
        <w:t>hypothesis</w:t>
      </w:r>
      <w:r>
        <w:rPr>
          <w:color w:val="000000"/>
        </w:rPr>
        <w:t xml:space="preserve"> is that size of municipalities/cities does not matter. </w:t>
      </w:r>
    </w:p>
    <w:p w14:paraId="1CE6BBB5" w14:textId="77777777" w:rsidR="007D5AF3" w:rsidRDefault="00000000" w:rsidP="00EC656E">
      <w:pPr>
        <w:spacing w:line="360" w:lineRule="auto"/>
        <w:ind w:left="720"/>
        <w:jc w:val="both"/>
        <w:rPr>
          <w:color w:val="000000"/>
        </w:rPr>
      </w:pPr>
      <w:r>
        <w:rPr>
          <w:color w:val="000000"/>
        </w:rPr>
        <w:t xml:space="preserve">We use the variable “"area_km2" as the </w:t>
      </w:r>
      <w:r>
        <w:t>representative</w:t>
      </w:r>
      <w:r>
        <w:rPr>
          <w:color w:val="000000"/>
        </w:rPr>
        <w:t xml:space="preserve"> for the size of the municipalities/cities.</w:t>
      </w:r>
    </w:p>
    <w:p w14:paraId="5ABBC633" w14:textId="77777777" w:rsidR="007D5AF3" w:rsidRDefault="00000000" w:rsidP="00EC656E">
      <w:pPr>
        <w:spacing w:line="360" w:lineRule="auto"/>
        <w:ind w:left="720"/>
        <w:jc w:val="both"/>
        <w:rPr>
          <w:color w:val="000000"/>
        </w:rPr>
      </w:pPr>
      <w:r>
        <w:rPr>
          <w:color w:val="000000"/>
        </w:rPr>
        <w:t xml:space="preserve">We perform the regression between the dependent variable "percent_vaccinated" and "area_km2". </w:t>
      </w:r>
      <w:r>
        <w:rPr>
          <w:color w:val="000000"/>
        </w:rPr>
        <w:br/>
      </w:r>
    </w:p>
    <w:p w14:paraId="70AF7C40" w14:textId="77777777" w:rsidR="007D5AF3" w:rsidRDefault="00000000" w:rsidP="00EC656E">
      <w:pPr>
        <w:spacing w:line="360" w:lineRule="auto"/>
        <w:ind w:left="720"/>
        <w:jc w:val="both"/>
        <w:rPr>
          <w:color w:val="000000"/>
        </w:rPr>
      </w:pPr>
      <w:r>
        <w:rPr>
          <w:color w:val="000000"/>
        </w:rPr>
        <w:t>Here is the summary of the result:</w:t>
      </w:r>
    </w:p>
    <w:p w14:paraId="173E8868" w14:textId="77777777" w:rsidR="007D5AF3" w:rsidRDefault="00000000" w:rsidP="00EC656E">
      <w:pPr>
        <w:spacing w:line="360" w:lineRule="auto"/>
        <w:ind w:left="720"/>
        <w:jc w:val="both"/>
        <w:rPr>
          <w:color w:val="000000"/>
        </w:rPr>
      </w:pPr>
      <w:r>
        <w:rPr>
          <w:noProof/>
          <w:color w:val="000000"/>
        </w:rPr>
        <w:drawing>
          <wp:inline distT="0" distB="0" distL="0" distR="0" wp14:anchorId="6352C440" wp14:editId="29CBCB6E">
            <wp:extent cx="5433060" cy="3055620"/>
            <wp:effectExtent l="0" t="0" r="0" b="0"/>
            <wp:docPr id="10" name="image5.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 screen&#10;&#10;Description automatically generated"/>
                    <pic:cNvPicPr preferRelativeResize="0"/>
                  </pic:nvPicPr>
                  <pic:blipFill>
                    <a:blip r:embed="rId12"/>
                    <a:srcRect/>
                    <a:stretch>
                      <a:fillRect/>
                    </a:stretch>
                  </pic:blipFill>
                  <pic:spPr>
                    <a:xfrm>
                      <a:off x="0" y="0"/>
                      <a:ext cx="5453493" cy="3067112"/>
                    </a:xfrm>
                    <a:prstGeom prst="rect">
                      <a:avLst/>
                    </a:prstGeom>
                    <a:ln/>
                  </pic:spPr>
                </pic:pic>
              </a:graphicData>
            </a:graphic>
          </wp:inline>
        </w:drawing>
      </w:r>
    </w:p>
    <w:p w14:paraId="5503B9A6" w14:textId="77777777" w:rsidR="007D5AF3" w:rsidRDefault="00000000" w:rsidP="00EC656E">
      <w:pPr>
        <w:spacing w:line="360" w:lineRule="auto"/>
        <w:ind w:left="720"/>
        <w:rPr>
          <w:color w:val="000000"/>
        </w:rPr>
      </w:pPr>
      <w:r>
        <w:rPr>
          <w:color w:val="000000"/>
        </w:rPr>
        <w:lastRenderedPageBreak/>
        <w:t xml:space="preserve">Not only that, to determine the size of municipalities/cities, we also take into account the population density (total area </w:t>
      </w:r>
      <w:r>
        <w:t>divided</w:t>
      </w:r>
      <w:r>
        <w:rPr>
          <w:color w:val="000000"/>
        </w:rPr>
        <w:t xml:space="preserve"> by the total population)</w:t>
      </w:r>
    </w:p>
    <w:p w14:paraId="0AF5F42B" w14:textId="77777777" w:rsidR="007D5AF3" w:rsidRDefault="00000000" w:rsidP="00EC656E">
      <w:pPr>
        <w:spacing w:line="360" w:lineRule="auto"/>
        <w:ind w:left="720"/>
        <w:rPr>
          <w:color w:val="000000"/>
        </w:rPr>
      </w:pPr>
      <w:r>
        <w:rPr>
          <w:noProof/>
          <w:color w:val="000000"/>
        </w:rPr>
        <w:drawing>
          <wp:inline distT="0" distB="0" distL="0" distR="0" wp14:anchorId="1B1764BC" wp14:editId="4838CC9E">
            <wp:extent cx="5372100" cy="3581400"/>
            <wp:effectExtent l="0" t="0" r="0" b="0"/>
            <wp:docPr id="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3"/>
                    <a:srcRect/>
                    <a:stretch>
                      <a:fillRect/>
                    </a:stretch>
                  </pic:blipFill>
                  <pic:spPr>
                    <a:xfrm>
                      <a:off x="0" y="0"/>
                      <a:ext cx="5372100" cy="3581400"/>
                    </a:xfrm>
                    <a:prstGeom prst="rect">
                      <a:avLst/>
                    </a:prstGeom>
                    <a:ln/>
                  </pic:spPr>
                </pic:pic>
              </a:graphicData>
            </a:graphic>
          </wp:inline>
        </w:drawing>
      </w:r>
    </w:p>
    <w:p w14:paraId="18A4C773" w14:textId="77777777" w:rsidR="007D5AF3" w:rsidRDefault="00000000" w:rsidP="00EC656E">
      <w:pPr>
        <w:spacing w:line="360" w:lineRule="auto"/>
        <w:ind w:left="720"/>
        <w:jc w:val="both"/>
        <w:rPr>
          <w:color w:val="000000"/>
        </w:rPr>
      </w:pPr>
      <w:r>
        <w:rPr>
          <w:color w:val="000000"/>
        </w:rPr>
        <w:t xml:space="preserve">From these two above tables, it can easily be seen that the R-squareds are really low, 0.008 and 0.055, respectively. Meaning that the area variable and density variable are </w:t>
      </w:r>
      <w:r>
        <w:t>not able</w:t>
      </w:r>
      <w:r>
        <w:rPr>
          <w:color w:val="000000"/>
        </w:rPr>
        <w:t xml:space="preserve"> to </w:t>
      </w:r>
      <w:r>
        <w:t>explain the</w:t>
      </w:r>
      <w:r>
        <w:rPr>
          <w:color w:val="000000"/>
        </w:rPr>
        <w:t xml:space="preserve"> vaccination rate.</w:t>
      </w:r>
    </w:p>
    <w:p w14:paraId="0484589A" w14:textId="77777777" w:rsidR="007D5AF3" w:rsidRDefault="00000000" w:rsidP="001376B1">
      <w:pPr>
        <w:spacing w:line="360" w:lineRule="auto"/>
        <w:ind w:left="720"/>
        <w:jc w:val="both"/>
        <w:rPr>
          <w:color w:val="000000"/>
        </w:rPr>
      </w:pPr>
      <w:r>
        <w:rPr>
          <w:color w:val="000000"/>
        </w:rPr>
        <w:t xml:space="preserve">Not only that, we also perform the correlation test, which </w:t>
      </w:r>
      <w:r>
        <w:t>indicates</w:t>
      </w:r>
      <w:r>
        <w:rPr>
          <w:color w:val="000000"/>
        </w:rPr>
        <w:t xml:space="preserve"> negative correlation between the percentage vaccination and area variable, with the amount of -0.091558.</w:t>
      </w:r>
    </w:p>
    <w:p w14:paraId="45D27FFE" w14:textId="75C641B9" w:rsidR="001376B1" w:rsidRDefault="00F636EB" w:rsidP="001376B1">
      <w:pPr>
        <w:spacing w:line="360" w:lineRule="auto"/>
        <w:ind w:left="720"/>
        <w:jc w:val="both"/>
        <w:rPr>
          <w:color w:val="000000"/>
        </w:rPr>
      </w:pPr>
      <w:r>
        <w:rPr>
          <w:color w:val="000000"/>
        </w:rPr>
        <w:t>Hence, our null hypothesis</w:t>
      </w:r>
      <w:r>
        <w:rPr>
          <w:b/>
          <w:bCs/>
          <w:color w:val="000000"/>
        </w:rPr>
        <w:t xml:space="preserve"> (hypothesis 1)</w:t>
      </w:r>
      <w:r>
        <w:rPr>
          <w:color w:val="000000"/>
        </w:rPr>
        <w:t xml:space="preserve"> is rejected. It fails to conclude that the size of municipalities/cities affect the vaccination rate.</w:t>
      </w:r>
    </w:p>
    <w:p w14:paraId="318CCCA1" w14:textId="60CB9B5B" w:rsidR="007D5AF3" w:rsidRPr="001376B1" w:rsidRDefault="00000000" w:rsidP="00520117">
      <w:pPr>
        <w:pStyle w:val="Heading3"/>
        <w:numPr>
          <w:ilvl w:val="1"/>
          <w:numId w:val="5"/>
        </w:numPr>
        <w:ind w:left="1440" w:hanging="720"/>
      </w:pPr>
      <w:bookmarkStart w:id="15" w:name="_Toc166417723"/>
      <w:r w:rsidRPr="001376B1">
        <w:t>A division between eastern and western Poland</w:t>
      </w:r>
      <w:bookmarkEnd w:id="15"/>
    </w:p>
    <w:p w14:paraId="019308FF" w14:textId="77777777" w:rsidR="007D5AF3" w:rsidRDefault="00000000" w:rsidP="001376B1">
      <w:pPr>
        <w:spacing w:line="360" w:lineRule="auto"/>
        <w:ind w:left="720"/>
        <w:jc w:val="both"/>
      </w:pPr>
      <w:r>
        <w:t xml:space="preserve">We divide Poland based on the historical partitions, including: austrian, prussian and russian. </w:t>
      </w:r>
    </w:p>
    <w:p w14:paraId="00CCBD36" w14:textId="77777777" w:rsidR="007D5AF3" w:rsidRDefault="00000000" w:rsidP="001376B1">
      <w:pPr>
        <w:spacing w:line="360" w:lineRule="auto"/>
        <w:ind w:left="720"/>
        <w:jc w:val="both"/>
      </w:pPr>
      <w:r>
        <w:t>Based on the dataset, we used spatial data in order to divide the municipalities into 3 partitions as the picture below:</w:t>
      </w:r>
    </w:p>
    <w:p w14:paraId="4983784A" w14:textId="77777777" w:rsidR="007D5AF3" w:rsidRDefault="00000000" w:rsidP="001376B1">
      <w:pPr>
        <w:spacing w:line="360" w:lineRule="auto"/>
        <w:ind w:left="630"/>
      </w:pPr>
      <w:r>
        <w:rPr>
          <w:noProof/>
        </w:rPr>
        <w:lastRenderedPageBreak/>
        <w:drawing>
          <wp:inline distT="114300" distB="114300" distL="114300" distR="114300" wp14:anchorId="32E9E699" wp14:editId="0687EF0D">
            <wp:extent cx="5410200" cy="4562475"/>
            <wp:effectExtent l="0" t="0" r="0" b="952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10200" cy="4562475"/>
                    </a:xfrm>
                    <a:prstGeom prst="rect">
                      <a:avLst/>
                    </a:prstGeom>
                    <a:ln/>
                  </pic:spPr>
                </pic:pic>
              </a:graphicData>
            </a:graphic>
          </wp:inline>
        </w:drawing>
      </w:r>
    </w:p>
    <w:p w14:paraId="53AA92A6" w14:textId="77777777" w:rsidR="007D5AF3" w:rsidRDefault="007D5AF3">
      <w:pPr>
        <w:spacing w:line="360" w:lineRule="auto"/>
      </w:pPr>
    </w:p>
    <w:p w14:paraId="51C8BAC7" w14:textId="77777777" w:rsidR="007D5AF3" w:rsidRDefault="00000000" w:rsidP="001376B1">
      <w:pPr>
        <w:spacing w:line="360" w:lineRule="auto"/>
        <w:ind w:left="720"/>
        <w:jc w:val="both"/>
      </w:pPr>
      <w:r>
        <w:t>We generate new dataset using spatial dataset as mapping to create the partition and calculate the average vaccinated percent using weighted average (based on population table)</w:t>
      </w:r>
    </w:p>
    <w:p w14:paraId="3A654A62" w14:textId="77777777" w:rsidR="00520117" w:rsidRDefault="00520117" w:rsidP="001376B1">
      <w:pPr>
        <w:spacing w:line="360" w:lineRule="auto"/>
        <w:ind w:left="720"/>
        <w:jc w:val="both"/>
      </w:pPr>
    </w:p>
    <w:p w14:paraId="0EAFD959" w14:textId="77777777" w:rsidR="0038580A" w:rsidRDefault="0038580A" w:rsidP="001376B1">
      <w:pPr>
        <w:spacing w:line="360" w:lineRule="auto"/>
        <w:ind w:left="720"/>
        <w:jc w:val="both"/>
      </w:pPr>
    </w:p>
    <w:p w14:paraId="13FB3457" w14:textId="77777777" w:rsidR="0038580A" w:rsidRDefault="0038580A" w:rsidP="001376B1">
      <w:pPr>
        <w:spacing w:line="360" w:lineRule="auto"/>
        <w:ind w:left="720"/>
        <w:jc w:val="both"/>
      </w:pPr>
    </w:p>
    <w:p w14:paraId="3681FB07" w14:textId="77777777" w:rsidR="0038580A" w:rsidRDefault="0038580A" w:rsidP="001376B1">
      <w:pPr>
        <w:spacing w:line="360" w:lineRule="auto"/>
        <w:ind w:left="720"/>
        <w:jc w:val="both"/>
      </w:pPr>
    </w:p>
    <w:p w14:paraId="04367E78" w14:textId="77777777" w:rsidR="0038580A" w:rsidRDefault="0038580A" w:rsidP="001376B1">
      <w:pPr>
        <w:spacing w:line="360" w:lineRule="auto"/>
        <w:ind w:left="720"/>
        <w:jc w:val="both"/>
      </w:pPr>
    </w:p>
    <w:p w14:paraId="1153EA50" w14:textId="77777777" w:rsidR="0038580A" w:rsidRDefault="0038580A" w:rsidP="001376B1">
      <w:pPr>
        <w:spacing w:line="360" w:lineRule="auto"/>
        <w:ind w:left="720"/>
        <w:jc w:val="both"/>
      </w:pPr>
    </w:p>
    <w:p w14:paraId="4592BF21" w14:textId="77777777" w:rsidR="0038580A" w:rsidRDefault="0038580A" w:rsidP="001376B1">
      <w:pPr>
        <w:spacing w:line="360" w:lineRule="auto"/>
        <w:ind w:left="720"/>
        <w:jc w:val="both"/>
      </w:pPr>
    </w:p>
    <w:p w14:paraId="0A59EB36" w14:textId="77777777" w:rsidR="0038580A" w:rsidRDefault="0038580A" w:rsidP="001376B1">
      <w:pPr>
        <w:spacing w:line="360" w:lineRule="auto"/>
        <w:ind w:left="720"/>
        <w:jc w:val="both"/>
      </w:pPr>
    </w:p>
    <w:p w14:paraId="61CCD5E3" w14:textId="77777777" w:rsidR="0038580A" w:rsidRDefault="0038580A" w:rsidP="001376B1">
      <w:pPr>
        <w:spacing w:line="360" w:lineRule="auto"/>
        <w:ind w:left="720"/>
        <w:jc w:val="both"/>
      </w:pPr>
    </w:p>
    <w:p w14:paraId="7D7F2A97" w14:textId="03F71ECD" w:rsidR="007D5AF3" w:rsidRDefault="00000000" w:rsidP="001376B1">
      <w:pPr>
        <w:spacing w:line="360" w:lineRule="auto"/>
        <w:ind w:left="720"/>
        <w:jc w:val="both"/>
      </w:pPr>
      <w:r>
        <w:lastRenderedPageBreak/>
        <w:t>Then, we calculate the average of the fully vaccinated rate based on each region.</w:t>
      </w:r>
    </w:p>
    <w:p w14:paraId="1291CEFB" w14:textId="77777777" w:rsidR="007D5AF3" w:rsidRDefault="007D5AF3">
      <w:pPr>
        <w:spacing w:line="360" w:lineRule="auto"/>
      </w:pPr>
    </w:p>
    <w:tbl>
      <w:tblPr>
        <w:tblStyle w:val="a2"/>
        <w:tblW w:w="8640" w:type="dxa"/>
        <w:tblInd w:w="714" w:type="dxa"/>
        <w:tblBorders>
          <w:top w:val="nil"/>
          <w:left w:val="nil"/>
          <w:bottom w:val="nil"/>
          <w:right w:val="nil"/>
          <w:insideH w:val="nil"/>
          <w:insideV w:val="nil"/>
        </w:tblBorders>
        <w:tblLayout w:type="fixed"/>
        <w:tblLook w:val="0600" w:firstRow="0" w:lastRow="0" w:firstColumn="0" w:lastColumn="0" w:noHBand="1" w:noVBand="1"/>
      </w:tblPr>
      <w:tblGrid>
        <w:gridCol w:w="1305"/>
        <w:gridCol w:w="1305"/>
        <w:gridCol w:w="1440"/>
        <w:gridCol w:w="1620"/>
        <w:gridCol w:w="1530"/>
        <w:gridCol w:w="1440"/>
      </w:tblGrid>
      <w:tr w:rsidR="007D5AF3" w14:paraId="498EBD4E" w14:textId="77777777" w:rsidTr="001376B1">
        <w:trPr>
          <w:trHeight w:val="1184"/>
        </w:trPr>
        <w:tc>
          <w:tcPr>
            <w:tcW w:w="130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EBE2ADA" w14:textId="77777777" w:rsidR="007D5AF3" w:rsidRDefault="00000000">
            <w:pPr>
              <w:spacing w:before="240" w:after="240"/>
              <w:jc w:val="center"/>
            </w:pPr>
            <w:r>
              <w:t>Partition</w:t>
            </w:r>
          </w:p>
        </w:tc>
        <w:tc>
          <w:tcPr>
            <w:tcW w:w="13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07EEBD3" w14:textId="77777777" w:rsidR="007D5AF3" w:rsidRDefault="00000000">
            <w:pPr>
              <w:spacing w:before="240" w:after="240"/>
              <w:jc w:val="center"/>
            </w:pPr>
            <w:r>
              <w:t>Population</w:t>
            </w:r>
          </w:p>
        </w:tc>
        <w:tc>
          <w:tcPr>
            <w:tcW w:w="14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029D699" w14:textId="77777777" w:rsidR="007D5AF3" w:rsidRDefault="00000000">
            <w:pPr>
              <w:spacing w:before="240" w:after="240"/>
              <w:jc w:val="center"/>
            </w:pPr>
            <w:r>
              <w:t>Weighted pop vaccinated</w:t>
            </w:r>
          </w:p>
        </w:tc>
        <w:tc>
          <w:tcPr>
            <w:tcW w:w="16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01A4FFF" w14:textId="77777777" w:rsidR="007D5AF3" w:rsidRDefault="00000000">
            <w:pPr>
              <w:spacing w:before="240" w:after="240"/>
              <w:jc w:val="center"/>
            </w:pPr>
            <w:r>
              <w:t>Net scholarization amount</w:t>
            </w:r>
          </w:p>
        </w:tc>
        <w:tc>
          <w:tcPr>
            <w:tcW w:w="15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C7BCE1D" w14:textId="77777777" w:rsidR="007D5AF3" w:rsidRDefault="00000000">
            <w:pPr>
              <w:spacing w:before="240" w:after="240"/>
              <w:jc w:val="center"/>
            </w:pPr>
            <w:r>
              <w:t>Revenue per capita PIT</w:t>
            </w:r>
          </w:p>
        </w:tc>
        <w:tc>
          <w:tcPr>
            <w:tcW w:w="14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49F2D03" w14:textId="77777777" w:rsidR="007D5AF3" w:rsidRDefault="00000000">
            <w:pPr>
              <w:spacing w:before="240" w:after="240"/>
              <w:jc w:val="center"/>
            </w:pPr>
            <w:r>
              <w:t>Avg. vaccinated percent</w:t>
            </w:r>
          </w:p>
        </w:tc>
      </w:tr>
      <w:tr w:rsidR="007D5AF3" w14:paraId="77F2FBEF" w14:textId="77777777" w:rsidTr="001376B1">
        <w:trPr>
          <w:trHeight w:val="345"/>
        </w:trPr>
        <w:tc>
          <w:tcPr>
            <w:tcW w:w="130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040144C9" w14:textId="77777777" w:rsidR="007D5AF3" w:rsidRDefault="00000000">
            <w:pPr>
              <w:spacing w:before="240" w:after="240"/>
              <w:jc w:val="center"/>
            </w:pPr>
            <w:r>
              <w:t>austrian</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FB898A1" w14:textId="77777777" w:rsidR="007D5AF3" w:rsidRDefault="00000000">
            <w:pPr>
              <w:spacing w:before="240" w:after="240"/>
              <w:jc w:val="center"/>
            </w:pPr>
            <w:r>
              <w:t>6,853,846</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7C42883" w14:textId="77777777" w:rsidR="007D5AF3" w:rsidRDefault="00000000">
            <w:pPr>
              <w:spacing w:before="240" w:after="240"/>
              <w:jc w:val="center"/>
            </w:pPr>
            <w:r>
              <w:t>3,569,817</w:t>
            </w:r>
          </w:p>
        </w:tc>
        <w:tc>
          <w:tcPr>
            <w:tcW w:w="162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B530321" w14:textId="77777777" w:rsidR="007D5AF3" w:rsidRDefault="00000000">
            <w:pPr>
              <w:spacing w:before="240" w:after="240"/>
              <w:jc w:val="center"/>
            </w:pPr>
            <w:r>
              <w:t>37,491</w:t>
            </w:r>
          </w:p>
        </w:tc>
        <w:tc>
          <w:tcPr>
            <w:tcW w:w="15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AABE527" w14:textId="77777777" w:rsidR="007D5AF3" w:rsidRDefault="00000000">
            <w:pPr>
              <w:spacing w:before="240" w:after="240"/>
              <w:jc w:val="center"/>
            </w:pPr>
            <w:r>
              <w:t>296,965</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F82CCAE" w14:textId="77777777" w:rsidR="007D5AF3" w:rsidRDefault="00000000">
            <w:pPr>
              <w:spacing w:before="240" w:after="240"/>
              <w:jc w:val="center"/>
            </w:pPr>
            <w:r>
              <w:t>52%</w:t>
            </w:r>
          </w:p>
        </w:tc>
      </w:tr>
      <w:tr w:rsidR="007D5AF3" w14:paraId="44D9FBD6" w14:textId="77777777" w:rsidTr="001376B1">
        <w:trPr>
          <w:trHeight w:val="345"/>
        </w:trPr>
        <w:tc>
          <w:tcPr>
            <w:tcW w:w="130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3FB80007" w14:textId="77777777" w:rsidR="007D5AF3" w:rsidRDefault="00000000">
            <w:pPr>
              <w:spacing w:before="240" w:after="240"/>
              <w:jc w:val="center"/>
            </w:pPr>
            <w:r>
              <w:t>russian</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0E5DE4B" w14:textId="77777777" w:rsidR="007D5AF3" w:rsidRDefault="00000000">
            <w:pPr>
              <w:spacing w:before="240" w:after="240"/>
              <w:jc w:val="center"/>
            </w:pPr>
            <w:r>
              <w:t>17,111,020</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D8D9D3D" w14:textId="77777777" w:rsidR="007D5AF3" w:rsidRDefault="00000000">
            <w:pPr>
              <w:spacing w:before="240" w:after="240"/>
              <w:jc w:val="center"/>
            </w:pPr>
            <w:r>
              <w:t>10,061,301</w:t>
            </w:r>
          </w:p>
        </w:tc>
        <w:tc>
          <w:tcPr>
            <w:tcW w:w="162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CD61DA1" w14:textId="77777777" w:rsidR="007D5AF3" w:rsidRDefault="00000000">
            <w:pPr>
              <w:spacing w:before="240" w:after="240"/>
              <w:jc w:val="center"/>
            </w:pPr>
            <w:r>
              <w:t>108,144</w:t>
            </w:r>
          </w:p>
        </w:tc>
        <w:tc>
          <w:tcPr>
            <w:tcW w:w="15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D3B759D" w14:textId="77777777" w:rsidR="007D5AF3" w:rsidRDefault="00000000">
            <w:pPr>
              <w:spacing w:before="240" w:after="240"/>
              <w:jc w:val="center"/>
            </w:pPr>
            <w:r>
              <w:t>882,976</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D1BF6DB" w14:textId="77777777" w:rsidR="007D5AF3" w:rsidRDefault="00000000">
            <w:pPr>
              <w:spacing w:before="240" w:after="240"/>
              <w:jc w:val="center"/>
            </w:pPr>
            <w:r>
              <w:t>59%</w:t>
            </w:r>
          </w:p>
        </w:tc>
      </w:tr>
      <w:tr w:rsidR="007D5AF3" w14:paraId="3FA429B1" w14:textId="77777777" w:rsidTr="001376B1">
        <w:trPr>
          <w:trHeight w:val="345"/>
        </w:trPr>
        <w:tc>
          <w:tcPr>
            <w:tcW w:w="1305"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799F1722" w14:textId="77777777" w:rsidR="007D5AF3" w:rsidRDefault="00000000">
            <w:pPr>
              <w:spacing w:before="240" w:after="240"/>
              <w:jc w:val="center"/>
            </w:pPr>
            <w:r>
              <w:t>prussian</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7475DBF" w14:textId="77777777" w:rsidR="007D5AF3" w:rsidRDefault="00000000">
            <w:pPr>
              <w:spacing w:before="240" w:after="240"/>
              <w:jc w:val="center"/>
            </w:pPr>
            <w:r>
              <w:t>18,513,078</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7E465E4" w14:textId="77777777" w:rsidR="007D5AF3" w:rsidRDefault="00000000">
            <w:pPr>
              <w:spacing w:before="240" w:after="240"/>
              <w:jc w:val="center"/>
            </w:pPr>
            <w:r>
              <w:t>11,053,651</w:t>
            </w:r>
          </w:p>
        </w:tc>
        <w:tc>
          <w:tcPr>
            <w:tcW w:w="162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025BF2F" w14:textId="77777777" w:rsidR="007D5AF3" w:rsidRDefault="00000000">
            <w:pPr>
              <w:spacing w:before="240" w:after="240"/>
              <w:jc w:val="center"/>
            </w:pPr>
            <w:r>
              <w:t>96,862</w:t>
            </w:r>
          </w:p>
        </w:tc>
        <w:tc>
          <w:tcPr>
            <w:tcW w:w="15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324425E" w14:textId="77777777" w:rsidR="007D5AF3" w:rsidRDefault="00000000">
            <w:pPr>
              <w:spacing w:before="240" w:after="240"/>
              <w:jc w:val="center"/>
            </w:pPr>
            <w:r>
              <w:t>917,181</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112F740" w14:textId="77777777" w:rsidR="007D5AF3" w:rsidRDefault="00000000">
            <w:pPr>
              <w:spacing w:before="240" w:after="240"/>
              <w:jc w:val="center"/>
            </w:pPr>
            <w:r>
              <w:t>60%</w:t>
            </w:r>
          </w:p>
        </w:tc>
      </w:tr>
    </w:tbl>
    <w:p w14:paraId="17E0442B" w14:textId="77777777" w:rsidR="007D5AF3" w:rsidRDefault="007D5AF3">
      <w:pPr>
        <w:spacing w:line="360" w:lineRule="auto"/>
        <w:jc w:val="both"/>
      </w:pPr>
    </w:p>
    <w:p w14:paraId="11A3E96F" w14:textId="77777777" w:rsidR="007D5AF3" w:rsidRDefault="00000000" w:rsidP="001376B1">
      <w:pPr>
        <w:spacing w:line="360" w:lineRule="auto"/>
        <w:ind w:left="720"/>
        <w:jc w:val="both"/>
      </w:pPr>
      <w:r>
        <w:rPr>
          <w:color w:val="0D0D0D"/>
          <w:highlight w:val="white"/>
        </w:rPr>
        <w:t>We've observed a positive correlation between the average vaccination rate and the revenue per capita from Personal Income Tax (PIT). Evidently, as the revenue per capita PIT rises, so does the average vaccination rate.</w:t>
      </w:r>
    </w:p>
    <w:p w14:paraId="583F098F" w14:textId="4E719122" w:rsidR="007D5AF3" w:rsidRDefault="00F636EB" w:rsidP="001376B1">
      <w:pPr>
        <w:spacing w:line="360" w:lineRule="auto"/>
        <w:ind w:left="720"/>
        <w:jc w:val="both"/>
      </w:pPr>
      <w:r>
        <w:rPr>
          <w:color w:val="000000"/>
        </w:rPr>
        <w:t>In summary, we reject the</w:t>
      </w:r>
      <w:r>
        <w:rPr>
          <w:b/>
          <w:bCs/>
          <w:color w:val="000000"/>
        </w:rPr>
        <w:t xml:space="preserve"> Hypothesis 2</w:t>
      </w:r>
      <w:r>
        <w:rPr>
          <w:color w:val="000000"/>
        </w:rPr>
        <w:t xml:space="preserve"> based on the number above,</w:t>
      </w:r>
      <w:r w:rsidR="00000000">
        <w:t xml:space="preserve"> we did not see any significant difference between Eastern and Western of Poland, but in contrast, we can see the remarkable difference between three partitions (russian/ Prussian vs austrian)</w:t>
      </w:r>
    </w:p>
    <w:p w14:paraId="7360096A" w14:textId="77777777" w:rsidR="00F636EB" w:rsidRDefault="00F636EB" w:rsidP="001376B1">
      <w:pPr>
        <w:spacing w:line="360" w:lineRule="auto"/>
        <w:ind w:left="720"/>
        <w:jc w:val="both"/>
      </w:pPr>
    </w:p>
    <w:p w14:paraId="730499DD" w14:textId="77777777" w:rsidR="00F636EB" w:rsidRDefault="00F636EB" w:rsidP="001376B1">
      <w:pPr>
        <w:spacing w:line="360" w:lineRule="auto"/>
        <w:ind w:left="720"/>
        <w:jc w:val="both"/>
      </w:pPr>
    </w:p>
    <w:p w14:paraId="673F3414" w14:textId="77777777" w:rsidR="00F636EB" w:rsidRDefault="00F636EB" w:rsidP="001376B1">
      <w:pPr>
        <w:spacing w:line="360" w:lineRule="auto"/>
        <w:ind w:left="720"/>
        <w:jc w:val="both"/>
      </w:pPr>
    </w:p>
    <w:p w14:paraId="61F07CEC" w14:textId="77777777" w:rsidR="00F636EB" w:rsidRDefault="00F636EB" w:rsidP="001376B1">
      <w:pPr>
        <w:spacing w:line="360" w:lineRule="auto"/>
        <w:ind w:left="720"/>
        <w:jc w:val="both"/>
      </w:pPr>
    </w:p>
    <w:p w14:paraId="0D9C3205" w14:textId="77777777" w:rsidR="00F636EB" w:rsidRDefault="00F636EB" w:rsidP="001376B1">
      <w:pPr>
        <w:spacing w:line="360" w:lineRule="auto"/>
        <w:ind w:left="720"/>
        <w:jc w:val="both"/>
      </w:pPr>
    </w:p>
    <w:p w14:paraId="02A8138A" w14:textId="77777777" w:rsidR="00F636EB" w:rsidRDefault="00F636EB" w:rsidP="001376B1">
      <w:pPr>
        <w:spacing w:line="360" w:lineRule="auto"/>
        <w:ind w:left="720"/>
        <w:jc w:val="both"/>
      </w:pPr>
    </w:p>
    <w:p w14:paraId="37FC13D7" w14:textId="77777777" w:rsidR="00F636EB" w:rsidRDefault="00F636EB" w:rsidP="001376B1">
      <w:pPr>
        <w:spacing w:line="360" w:lineRule="auto"/>
        <w:ind w:left="720"/>
        <w:jc w:val="both"/>
      </w:pPr>
    </w:p>
    <w:p w14:paraId="013005B4" w14:textId="77777777" w:rsidR="00F636EB" w:rsidRDefault="00F636EB" w:rsidP="001376B1">
      <w:pPr>
        <w:spacing w:line="360" w:lineRule="auto"/>
        <w:ind w:left="720"/>
        <w:jc w:val="both"/>
      </w:pPr>
    </w:p>
    <w:p w14:paraId="2EF781BC" w14:textId="77777777" w:rsidR="00F636EB" w:rsidRDefault="00F636EB" w:rsidP="001376B1">
      <w:pPr>
        <w:spacing w:line="360" w:lineRule="auto"/>
        <w:ind w:left="720"/>
        <w:jc w:val="both"/>
      </w:pPr>
    </w:p>
    <w:p w14:paraId="173BAD27" w14:textId="77777777" w:rsidR="00F636EB" w:rsidRDefault="00F636EB" w:rsidP="001376B1">
      <w:pPr>
        <w:spacing w:line="360" w:lineRule="auto"/>
        <w:ind w:left="720"/>
        <w:jc w:val="both"/>
      </w:pPr>
    </w:p>
    <w:p w14:paraId="4882B881" w14:textId="77777777" w:rsidR="00F636EB" w:rsidRDefault="00F636EB" w:rsidP="001376B1">
      <w:pPr>
        <w:spacing w:line="360" w:lineRule="auto"/>
        <w:ind w:left="720"/>
        <w:jc w:val="both"/>
      </w:pPr>
    </w:p>
    <w:p w14:paraId="055EA2AC" w14:textId="7F6E9564" w:rsidR="007D5AF3" w:rsidRDefault="00000000" w:rsidP="00520117">
      <w:pPr>
        <w:pStyle w:val="Heading3"/>
        <w:numPr>
          <w:ilvl w:val="1"/>
          <w:numId w:val="5"/>
        </w:numPr>
        <w:ind w:left="1440" w:hanging="720"/>
        <w:rPr>
          <w:b w:val="0"/>
        </w:rPr>
      </w:pPr>
      <w:bookmarkStart w:id="16" w:name="_Toc166417724"/>
      <w:r>
        <w:lastRenderedPageBreak/>
        <w:t>Variation in vaccination rates among different age groups</w:t>
      </w:r>
      <w:bookmarkEnd w:id="16"/>
    </w:p>
    <w:p w14:paraId="1A934D4B" w14:textId="77777777" w:rsidR="007D5AF3" w:rsidRDefault="00000000" w:rsidP="001376B1">
      <w:pPr>
        <w:spacing w:line="360" w:lineRule="auto"/>
        <w:ind w:left="720"/>
      </w:pPr>
      <w:r>
        <w:t xml:space="preserve">Based on the dataset, we can generate the data table for showing the population and vaccinated population of each group ages. </w:t>
      </w:r>
    </w:p>
    <w:p w14:paraId="2009018D" w14:textId="77777777" w:rsidR="007D5AF3" w:rsidRDefault="007D5AF3">
      <w:pPr>
        <w:spacing w:line="360" w:lineRule="auto"/>
      </w:pPr>
    </w:p>
    <w:tbl>
      <w:tblPr>
        <w:tblStyle w:val="a3"/>
        <w:tblW w:w="8640" w:type="dxa"/>
        <w:tblInd w:w="714" w:type="dxa"/>
        <w:tblBorders>
          <w:top w:val="nil"/>
          <w:left w:val="nil"/>
          <w:bottom w:val="nil"/>
          <w:right w:val="nil"/>
          <w:insideH w:val="nil"/>
          <w:insideV w:val="nil"/>
        </w:tblBorders>
        <w:tblLayout w:type="fixed"/>
        <w:tblLook w:val="0600" w:firstRow="0" w:lastRow="0" w:firstColumn="0" w:lastColumn="0" w:noHBand="1" w:noVBand="1"/>
      </w:tblPr>
      <w:tblGrid>
        <w:gridCol w:w="1181"/>
        <w:gridCol w:w="1406"/>
        <w:gridCol w:w="1255"/>
        <w:gridCol w:w="1108"/>
        <w:gridCol w:w="1260"/>
        <w:gridCol w:w="2430"/>
      </w:tblGrid>
      <w:tr w:rsidR="007D5AF3" w14:paraId="75C43E20" w14:textId="77777777" w:rsidTr="001376B1">
        <w:trPr>
          <w:trHeight w:val="285"/>
        </w:trPr>
        <w:tc>
          <w:tcPr>
            <w:tcW w:w="118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48D46C2" w14:textId="77777777" w:rsidR="007D5AF3" w:rsidRDefault="00000000">
            <w:pPr>
              <w:spacing w:before="240" w:line="276" w:lineRule="auto"/>
              <w:jc w:val="center"/>
            </w:pPr>
            <w:r>
              <w:t>Group ages</w:t>
            </w:r>
          </w:p>
        </w:tc>
        <w:tc>
          <w:tcPr>
            <w:tcW w:w="1406"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AE02D5D" w14:textId="77777777" w:rsidR="007D5AF3" w:rsidRDefault="00000000">
            <w:pPr>
              <w:spacing w:before="240" w:line="276" w:lineRule="auto"/>
              <w:jc w:val="center"/>
            </w:pPr>
            <w:r>
              <w:t>Amount</w:t>
            </w:r>
          </w:p>
        </w:tc>
        <w:tc>
          <w:tcPr>
            <w:tcW w:w="125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38F4B1" w14:textId="77777777" w:rsidR="007D5AF3" w:rsidRDefault="00000000">
            <w:pPr>
              <w:spacing w:before="240" w:line="276" w:lineRule="auto"/>
              <w:jc w:val="center"/>
            </w:pPr>
            <w:r>
              <w:t>Vaccinate</w:t>
            </w:r>
          </w:p>
        </w:tc>
        <w:tc>
          <w:tcPr>
            <w:tcW w:w="1108"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5101514" w14:textId="77777777" w:rsidR="007D5AF3" w:rsidRDefault="00000000">
            <w:pPr>
              <w:spacing w:before="240" w:line="276" w:lineRule="auto"/>
              <w:jc w:val="center"/>
            </w:pPr>
            <w:r>
              <w:t>Percent of total</w:t>
            </w:r>
          </w:p>
        </w:tc>
        <w:tc>
          <w:tcPr>
            <w:tcW w:w="12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5054D85" w14:textId="77777777" w:rsidR="007D5AF3" w:rsidRDefault="00000000">
            <w:pPr>
              <w:spacing w:before="240" w:line="276" w:lineRule="auto"/>
              <w:jc w:val="center"/>
            </w:pPr>
            <w:r>
              <w:t>Percent of vaccinated</w:t>
            </w:r>
          </w:p>
        </w:tc>
        <w:tc>
          <w:tcPr>
            <w:tcW w:w="24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7BDC6E" w14:textId="77777777" w:rsidR="007D5AF3" w:rsidRDefault="00000000">
            <w:pPr>
              <w:spacing w:before="240" w:line="276" w:lineRule="auto"/>
              <w:jc w:val="center"/>
            </w:pPr>
            <w:r>
              <w:t>Percent of Vaccinated in total</w:t>
            </w:r>
          </w:p>
        </w:tc>
      </w:tr>
      <w:tr w:rsidR="007D5AF3" w14:paraId="393DFFF9"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04904D7C" w14:textId="77777777" w:rsidR="007D5AF3" w:rsidRDefault="00000000">
            <w:pPr>
              <w:spacing w:before="240" w:line="276" w:lineRule="auto"/>
              <w:jc w:val="right"/>
            </w:pPr>
            <w:r>
              <w:t>0-4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EF94B44" w14:textId="77777777" w:rsidR="007D5AF3" w:rsidRDefault="00000000">
            <w:pPr>
              <w:spacing w:before="240" w:line="276" w:lineRule="auto"/>
              <w:jc w:val="right"/>
            </w:pPr>
            <w:r>
              <w:t>2,129,692</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CC9328A" w14:textId="77777777" w:rsidR="007D5AF3" w:rsidRDefault="00000000">
            <w:pPr>
              <w:spacing w:before="240" w:line="276" w:lineRule="auto"/>
              <w:jc w:val="right"/>
            </w:pPr>
            <w:r>
              <w:t>1,234,643</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DA4B2DF" w14:textId="77777777" w:rsidR="007D5AF3" w:rsidRDefault="00000000">
            <w:pPr>
              <w:spacing w:before="240" w:line="276" w:lineRule="auto"/>
              <w:jc w:val="right"/>
            </w:pPr>
            <w:r>
              <w:t>5.014%</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26EED93" w14:textId="77777777" w:rsidR="007D5AF3" w:rsidRDefault="00000000">
            <w:pPr>
              <w:spacing w:before="240" w:line="276" w:lineRule="auto"/>
              <w:jc w:val="right"/>
            </w:pPr>
            <w:r>
              <w:t>5.002%</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49D1511" w14:textId="77777777" w:rsidR="007D5AF3" w:rsidRDefault="00000000">
            <w:pPr>
              <w:spacing w:before="240" w:line="276" w:lineRule="auto"/>
              <w:jc w:val="right"/>
            </w:pPr>
            <w:r>
              <w:t>58.0%</w:t>
            </w:r>
          </w:p>
        </w:tc>
      </w:tr>
      <w:tr w:rsidR="007D5AF3" w14:paraId="466F7DF6"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1A91C249" w14:textId="77777777" w:rsidR="007D5AF3" w:rsidRDefault="00000000">
            <w:pPr>
              <w:spacing w:before="240" w:line="276" w:lineRule="auto"/>
              <w:jc w:val="right"/>
            </w:pPr>
            <w:r>
              <w:t>5-9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4D7214A" w14:textId="77777777" w:rsidR="007D5AF3" w:rsidRDefault="00000000">
            <w:pPr>
              <w:spacing w:before="240" w:line="276" w:lineRule="auto"/>
              <w:jc w:val="right"/>
            </w:pPr>
            <w:r>
              <w:t>2,184,237</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C250B9F" w14:textId="77777777" w:rsidR="007D5AF3" w:rsidRDefault="00000000">
            <w:pPr>
              <w:spacing w:before="240" w:line="276" w:lineRule="auto"/>
              <w:jc w:val="right"/>
            </w:pPr>
            <w:r>
              <w:t>1,262,019</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43B9048" w14:textId="77777777" w:rsidR="007D5AF3" w:rsidRDefault="00000000">
            <w:pPr>
              <w:spacing w:before="240" w:line="276" w:lineRule="auto"/>
              <w:jc w:val="right"/>
            </w:pPr>
            <w:r>
              <w:t>5.142%</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C1AD281" w14:textId="77777777" w:rsidR="007D5AF3" w:rsidRDefault="00000000">
            <w:pPr>
              <w:spacing w:before="240" w:line="276" w:lineRule="auto"/>
              <w:jc w:val="right"/>
            </w:pPr>
            <w:r>
              <w:t>5.113%</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C0A691E" w14:textId="77777777" w:rsidR="007D5AF3" w:rsidRDefault="00000000">
            <w:pPr>
              <w:spacing w:before="240" w:line="276" w:lineRule="auto"/>
              <w:jc w:val="right"/>
            </w:pPr>
            <w:r>
              <w:t>57.8%</w:t>
            </w:r>
          </w:p>
        </w:tc>
      </w:tr>
      <w:tr w:rsidR="007D5AF3" w14:paraId="0D91D7AF"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3E402CF2" w14:textId="77777777" w:rsidR="007D5AF3" w:rsidRDefault="00000000">
            <w:pPr>
              <w:spacing w:before="240" w:line="276" w:lineRule="auto"/>
              <w:jc w:val="right"/>
            </w:pPr>
            <w:r>
              <w:t>10-14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F090CF1" w14:textId="77777777" w:rsidR="007D5AF3" w:rsidRDefault="00000000">
            <w:pPr>
              <w:spacing w:before="240" w:line="276" w:lineRule="auto"/>
              <w:jc w:val="right"/>
            </w:pPr>
            <w:r>
              <w:t>2,281,947</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94248E6" w14:textId="77777777" w:rsidR="007D5AF3" w:rsidRDefault="00000000">
            <w:pPr>
              <w:spacing w:before="240" w:line="276" w:lineRule="auto"/>
              <w:jc w:val="right"/>
            </w:pPr>
            <w:r>
              <w:t>1,311,288</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EF3871B" w14:textId="77777777" w:rsidR="007D5AF3" w:rsidRDefault="00000000">
            <w:pPr>
              <w:spacing w:before="240" w:line="276" w:lineRule="auto"/>
              <w:jc w:val="right"/>
            </w:pPr>
            <w:r>
              <w:t>5.372%</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F92F1B2" w14:textId="77777777" w:rsidR="007D5AF3" w:rsidRDefault="00000000">
            <w:pPr>
              <w:spacing w:before="240" w:line="276" w:lineRule="auto"/>
              <w:jc w:val="right"/>
            </w:pPr>
            <w:r>
              <w:t>5.312%</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34F202C" w14:textId="77777777" w:rsidR="007D5AF3" w:rsidRDefault="00000000">
            <w:pPr>
              <w:spacing w:before="240" w:line="276" w:lineRule="auto"/>
              <w:jc w:val="right"/>
            </w:pPr>
            <w:r>
              <w:t>57.5%</w:t>
            </w:r>
          </w:p>
        </w:tc>
      </w:tr>
      <w:tr w:rsidR="007D5AF3" w14:paraId="0D5620DF"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F0C01AF" w14:textId="77777777" w:rsidR="007D5AF3" w:rsidRDefault="00000000">
            <w:pPr>
              <w:spacing w:before="240" w:line="276" w:lineRule="auto"/>
              <w:jc w:val="right"/>
            </w:pPr>
            <w:r>
              <w:t>15-19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AA96E63" w14:textId="77777777" w:rsidR="007D5AF3" w:rsidRDefault="00000000">
            <w:pPr>
              <w:spacing w:before="240" w:line="276" w:lineRule="auto"/>
              <w:jc w:val="right"/>
            </w:pPr>
            <w:r>
              <w:t>1,956,947</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0FCC7AC" w14:textId="77777777" w:rsidR="007D5AF3" w:rsidRDefault="00000000">
            <w:pPr>
              <w:spacing w:before="240" w:line="276" w:lineRule="auto"/>
              <w:jc w:val="right"/>
            </w:pPr>
            <w:r>
              <w:t>1,115,254</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C84E722" w14:textId="77777777" w:rsidR="007D5AF3" w:rsidRDefault="00000000">
            <w:pPr>
              <w:spacing w:before="240" w:line="276" w:lineRule="auto"/>
              <w:jc w:val="right"/>
            </w:pPr>
            <w:r>
              <w:t>4.607%</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1A3A811" w14:textId="77777777" w:rsidR="007D5AF3" w:rsidRDefault="00000000">
            <w:pPr>
              <w:spacing w:before="240" w:line="276" w:lineRule="auto"/>
              <w:jc w:val="right"/>
            </w:pPr>
            <w:r>
              <w:t>4.518%</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E736E2A" w14:textId="77777777" w:rsidR="007D5AF3" w:rsidRDefault="00000000">
            <w:pPr>
              <w:spacing w:before="240" w:line="276" w:lineRule="auto"/>
              <w:jc w:val="right"/>
            </w:pPr>
            <w:r>
              <w:t>57.0%</w:t>
            </w:r>
          </w:p>
        </w:tc>
      </w:tr>
      <w:tr w:rsidR="007D5AF3" w14:paraId="2597007C"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3C37B5CC" w14:textId="77777777" w:rsidR="007D5AF3" w:rsidRDefault="00000000">
            <w:pPr>
              <w:spacing w:before="240" w:line="276" w:lineRule="auto"/>
              <w:jc w:val="right"/>
            </w:pPr>
            <w:r>
              <w:t>20-24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0462216" w14:textId="77777777" w:rsidR="007D5AF3" w:rsidRDefault="00000000">
            <w:pPr>
              <w:spacing w:before="240" w:line="276" w:lineRule="auto"/>
              <w:jc w:val="right"/>
            </w:pPr>
            <w:r>
              <w:t>2,165,807</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D966AB3" w14:textId="77777777" w:rsidR="007D5AF3" w:rsidRDefault="00000000">
            <w:pPr>
              <w:spacing w:before="240" w:line="276" w:lineRule="auto"/>
              <w:jc w:val="right"/>
            </w:pPr>
            <w:r>
              <w:t>1,247,804</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E884485" w14:textId="77777777" w:rsidR="007D5AF3" w:rsidRDefault="00000000">
            <w:pPr>
              <w:spacing w:before="240" w:line="276" w:lineRule="auto"/>
              <w:jc w:val="right"/>
            </w:pPr>
            <w:r>
              <w:t>5.099%</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CB986F1" w14:textId="77777777" w:rsidR="007D5AF3" w:rsidRDefault="00000000">
            <w:pPr>
              <w:spacing w:before="240" w:line="276" w:lineRule="auto"/>
              <w:jc w:val="right"/>
            </w:pPr>
            <w:r>
              <w:t>5.055%</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47AC9A7" w14:textId="77777777" w:rsidR="007D5AF3" w:rsidRDefault="00000000">
            <w:pPr>
              <w:spacing w:before="240" w:line="276" w:lineRule="auto"/>
              <w:jc w:val="right"/>
            </w:pPr>
            <w:r>
              <w:t>57.6%</w:t>
            </w:r>
          </w:p>
        </w:tc>
      </w:tr>
      <w:tr w:rsidR="007D5AF3" w14:paraId="1C46EB6A"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CFA4F6B" w14:textId="77777777" w:rsidR="007D5AF3" w:rsidRDefault="00000000">
            <w:pPr>
              <w:spacing w:before="240" w:line="276" w:lineRule="auto"/>
              <w:jc w:val="right"/>
            </w:pPr>
            <w:r>
              <w:t>25-29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9C58275" w14:textId="77777777" w:rsidR="007D5AF3" w:rsidRDefault="00000000">
            <w:pPr>
              <w:spacing w:before="240" w:line="276" w:lineRule="auto"/>
              <w:jc w:val="right"/>
            </w:pPr>
            <w:r>
              <w:t>2,669,512</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92A7A07" w14:textId="77777777" w:rsidR="007D5AF3" w:rsidRDefault="00000000">
            <w:pPr>
              <w:spacing w:before="240" w:line="276" w:lineRule="auto"/>
              <w:jc w:val="right"/>
            </w:pPr>
            <w:r>
              <w:t>1,561,683</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D9828DE" w14:textId="77777777" w:rsidR="007D5AF3" w:rsidRDefault="00000000">
            <w:pPr>
              <w:spacing w:before="240" w:line="276" w:lineRule="auto"/>
              <w:jc w:val="right"/>
            </w:pPr>
            <w:r>
              <w:t>6.284%</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164D40B" w14:textId="77777777" w:rsidR="007D5AF3" w:rsidRDefault="00000000">
            <w:pPr>
              <w:spacing w:before="240" w:line="276" w:lineRule="auto"/>
              <w:jc w:val="right"/>
            </w:pPr>
            <w:r>
              <w:t>6.327%</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4278C87" w14:textId="77777777" w:rsidR="007D5AF3" w:rsidRDefault="00000000">
            <w:pPr>
              <w:spacing w:before="240" w:line="276" w:lineRule="auto"/>
              <w:jc w:val="right"/>
            </w:pPr>
            <w:r>
              <w:t>58.5%</w:t>
            </w:r>
          </w:p>
        </w:tc>
      </w:tr>
      <w:tr w:rsidR="007D5AF3" w14:paraId="4D589AB5"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67C20936" w14:textId="77777777" w:rsidR="007D5AF3" w:rsidRDefault="00000000">
            <w:pPr>
              <w:spacing w:before="240" w:line="276" w:lineRule="auto"/>
              <w:jc w:val="right"/>
            </w:pPr>
            <w:r>
              <w:t>30-34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9E8564E" w14:textId="77777777" w:rsidR="007D5AF3" w:rsidRDefault="00000000">
            <w:pPr>
              <w:spacing w:before="240" w:line="276" w:lineRule="auto"/>
              <w:jc w:val="right"/>
            </w:pPr>
            <w:r>
              <w:t>3,134,697</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143A137" w14:textId="77777777" w:rsidR="007D5AF3" w:rsidRDefault="00000000">
            <w:pPr>
              <w:spacing w:before="240" w:line="276" w:lineRule="auto"/>
              <w:jc w:val="right"/>
            </w:pPr>
            <w:r>
              <w:t>1,836,800</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A8C7B46" w14:textId="77777777" w:rsidR="007D5AF3" w:rsidRDefault="00000000">
            <w:pPr>
              <w:spacing w:before="240" w:line="276" w:lineRule="auto"/>
              <w:jc w:val="right"/>
            </w:pPr>
            <w:r>
              <w:t>7.380%</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A61DA11" w14:textId="77777777" w:rsidR="007D5AF3" w:rsidRDefault="00000000">
            <w:pPr>
              <w:spacing w:before="240" w:line="276" w:lineRule="auto"/>
              <w:jc w:val="right"/>
            </w:pPr>
            <w:r>
              <w:t>7.441%</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6F76E8B" w14:textId="77777777" w:rsidR="007D5AF3" w:rsidRDefault="00000000">
            <w:pPr>
              <w:spacing w:before="240" w:line="276" w:lineRule="auto"/>
              <w:jc w:val="right"/>
            </w:pPr>
            <w:r>
              <w:t>58.6%</w:t>
            </w:r>
          </w:p>
        </w:tc>
      </w:tr>
      <w:tr w:rsidR="007D5AF3" w14:paraId="54B0E653"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5B33E992" w14:textId="77777777" w:rsidR="007D5AF3" w:rsidRDefault="00000000">
            <w:pPr>
              <w:spacing w:before="240" w:line="276" w:lineRule="auto"/>
              <w:jc w:val="right"/>
            </w:pPr>
            <w:r>
              <w:t>35-39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1945B61" w14:textId="77777777" w:rsidR="007D5AF3" w:rsidRDefault="00000000">
            <w:pPr>
              <w:spacing w:before="240" w:line="276" w:lineRule="auto"/>
              <w:jc w:val="right"/>
            </w:pPr>
            <w:r>
              <w:t>3,590,893</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382942B" w14:textId="77777777" w:rsidR="007D5AF3" w:rsidRDefault="00000000">
            <w:pPr>
              <w:spacing w:before="240" w:line="276" w:lineRule="auto"/>
              <w:jc w:val="right"/>
            </w:pPr>
            <w:r>
              <w:t>2,104,832</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37B203F" w14:textId="77777777" w:rsidR="007D5AF3" w:rsidRDefault="00000000">
            <w:pPr>
              <w:spacing w:before="240" w:line="276" w:lineRule="auto"/>
              <w:jc w:val="right"/>
            </w:pPr>
            <w:r>
              <w:t>8.454%</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590D692" w14:textId="77777777" w:rsidR="007D5AF3" w:rsidRDefault="00000000">
            <w:pPr>
              <w:spacing w:before="240" w:line="276" w:lineRule="auto"/>
              <w:jc w:val="right"/>
            </w:pPr>
            <w:r>
              <w:t>8.527%</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0847607" w14:textId="77777777" w:rsidR="007D5AF3" w:rsidRDefault="00000000">
            <w:pPr>
              <w:spacing w:before="240" w:line="276" w:lineRule="auto"/>
              <w:jc w:val="right"/>
            </w:pPr>
            <w:r>
              <w:t>58.6%</w:t>
            </w:r>
          </w:p>
        </w:tc>
      </w:tr>
      <w:tr w:rsidR="007D5AF3" w14:paraId="0EC7859D"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180DAB1" w14:textId="77777777" w:rsidR="007D5AF3" w:rsidRDefault="00000000">
            <w:pPr>
              <w:spacing w:before="240" w:line="276" w:lineRule="auto"/>
              <w:jc w:val="right"/>
            </w:pPr>
            <w:r>
              <w:t>40-44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752784A" w14:textId="77777777" w:rsidR="007D5AF3" w:rsidRDefault="00000000">
            <w:pPr>
              <w:spacing w:before="240" w:line="276" w:lineRule="auto"/>
              <w:jc w:val="right"/>
            </w:pPr>
            <w:r>
              <w:t>3,422,976</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1DD8D5E" w14:textId="77777777" w:rsidR="007D5AF3" w:rsidRDefault="00000000">
            <w:pPr>
              <w:spacing w:before="240" w:line="276" w:lineRule="auto"/>
              <w:jc w:val="right"/>
            </w:pPr>
            <w:r>
              <w:t>2,002,775</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B852ADD" w14:textId="77777777" w:rsidR="007D5AF3" w:rsidRDefault="00000000">
            <w:pPr>
              <w:spacing w:before="240" w:line="276" w:lineRule="auto"/>
              <w:jc w:val="right"/>
            </w:pPr>
            <w:r>
              <w:t>8.058%</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ECA205A" w14:textId="77777777" w:rsidR="007D5AF3" w:rsidRDefault="00000000">
            <w:pPr>
              <w:spacing w:before="240" w:line="276" w:lineRule="auto"/>
              <w:jc w:val="right"/>
            </w:pPr>
            <w:r>
              <w:t>8.113%</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B47DBC8" w14:textId="77777777" w:rsidR="007D5AF3" w:rsidRDefault="00000000">
            <w:pPr>
              <w:spacing w:before="240" w:line="276" w:lineRule="auto"/>
              <w:jc w:val="right"/>
            </w:pPr>
            <w:r>
              <w:t>58.5%</w:t>
            </w:r>
          </w:p>
        </w:tc>
      </w:tr>
      <w:tr w:rsidR="007D5AF3" w14:paraId="7FC6031D"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175D988D" w14:textId="77777777" w:rsidR="007D5AF3" w:rsidRDefault="00000000">
            <w:pPr>
              <w:spacing w:before="240" w:line="276" w:lineRule="auto"/>
              <w:jc w:val="right"/>
            </w:pPr>
            <w:r>
              <w:t>45-49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CB21BC1" w14:textId="77777777" w:rsidR="007D5AF3" w:rsidRDefault="00000000">
            <w:pPr>
              <w:spacing w:before="240" w:line="276" w:lineRule="auto"/>
              <w:jc w:val="right"/>
            </w:pPr>
            <w:r>
              <w:t>2,991,944</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7DFC6B4" w14:textId="77777777" w:rsidR="007D5AF3" w:rsidRDefault="00000000">
            <w:pPr>
              <w:spacing w:before="240" w:line="276" w:lineRule="auto"/>
              <w:jc w:val="right"/>
            </w:pPr>
            <w:r>
              <w:t>1,738,319</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ED6D084" w14:textId="77777777" w:rsidR="007D5AF3" w:rsidRDefault="00000000">
            <w:pPr>
              <w:spacing w:before="240" w:line="276" w:lineRule="auto"/>
              <w:jc w:val="right"/>
            </w:pPr>
            <w:r>
              <w:t>7.044%</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20A2BB9" w14:textId="77777777" w:rsidR="007D5AF3" w:rsidRDefault="00000000">
            <w:pPr>
              <w:spacing w:before="240" w:line="276" w:lineRule="auto"/>
              <w:jc w:val="right"/>
            </w:pPr>
            <w:r>
              <w:t>7.042%</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B3C34E4" w14:textId="77777777" w:rsidR="007D5AF3" w:rsidRDefault="00000000">
            <w:pPr>
              <w:spacing w:before="240" w:line="276" w:lineRule="auto"/>
              <w:jc w:val="right"/>
            </w:pPr>
            <w:r>
              <w:t>58.1%</w:t>
            </w:r>
          </w:p>
        </w:tc>
      </w:tr>
      <w:tr w:rsidR="007D5AF3" w14:paraId="697CBD31"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6A726C23" w14:textId="77777777" w:rsidR="007D5AF3" w:rsidRDefault="00000000">
            <w:pPr>
              <w:spacing w:before="240" w:line="276" w:lineRule="auto"/>
              <w:jc w:val="right"/>
            </w:pPr>
            <w:r>
              <w:t>50-54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2AB7D9D" w14:textId="77777777" w:rsidR="007D5AF3" w:rsidRDefault="00000000">
            <w:pPr>
              <w:spacing w:before="240" w:line="276" w:lineRule="auto"/>
              <w:jc w:val="right"/>
            </w:pPr>
            <w:r>
              <w:t>2,531,979</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7FED663" w14:textId="77777777" w:rsidR="007D5AF3" w:rsidRDefault="00000000">
            <w:pPr>
              <w:spacing w:before="240" w:line="276" w:lineRule="auto"/>
              <w:jc w:val="right"/>
            </w:pPr>
            <w:r>
              <w:t>1,455,614</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6737274" w14:textId="77777777" w:rsidR="007D5AF3" w:rsidRDefault="00000000">
            <w:pPr>
              <w:spacing w:before="240" w:line="276" w:lineRule="auto"/>
              <w:jc w:val="right"/>
            </w:pPr>
            <w:r>
              <w:t>5.961%</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5FA817D" w14:textId="77777777" w:rsidR="007D5AF3" w:rsidRDefault="00000000">
            <w:pPr>
              <w:spacing w:before="240" w:line="276" w:lineRule="auto"/>
              <w:jc w:val="right"/>
            </w:pPr>
            <w:r>
              <w:t>5.897%</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6467ED6" w14:textId="77777777" w:rsidR="007D5AF3" w:rsidRDefault="00000000">
            <w:pPr>
              <w:spacing w:before="240" w:line="276" w:lineRule="auto"/>
              <w:jc w:val="right"/>
            </w:pPr>
            <w:r>
              <w:t>57.5%</w:t>
            </w:r>
          </w:p>
        </w:tc>
      </w:tr>
      <w:tr w:rsidR="007D5AF3" w14:paraId="15F56CB6"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7172FEC1" w14:textId="77777777" w:rsidR="007D5AF3" w:rsidRDefault="00000000">
            <w:pPr>
              <w:spacing w:before="240" w:line="276" w:lineRule="auto"/>
              <w:jc w:val="right"/>
            </w:pPr>
            <w:r>
              <w:t>55-59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3A418EA" w14:textId="77777777" w:rsidR="007D5AF3" w:rsidRDefault="00000000">
            <w:pPr>
              <w:spacing w:before="240" w:line="276" w:lineRule="auto"/>
              <w:jc w:val="right"/>
            </w:pPr>
            <w:r>
              <w:t>2,571,940</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95CAAF1" w14:textId="77777777" w:rsidR="007D5AF3" w:rsidRDefault="00000000">
            <w:pPr>
              <w:spacing w:before="240" w:line="276" w:lineRule="auto"/>
              <w:jc w:val="right"/>
            </w:pPr>
            <w:r>
              <w:t>1,474,820</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316A289" w14:textId="77777777" w:rsidR="007D5AF3" w:rsidRDefault="00000000">
            <w:pPr>
              <w:spacing w:before="240" w:line="276" w:lineRule="auto"/>
              <w:jc w:val="right"/>
            </w:pPr>
            <w:r>
              <w:t>6.055%</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6664A71" w14:textId="77777777" w:rsidR="007D5AF3" w:rsidRDefault="00000000">
            <w:pPr>
              <w:spacing w:before="240" w:line="276" w:lineRule="auto"/>
              <w:jc w:val="right"/>
            </w:pPr>
            <w:r>
              <w:t>5.975%</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D42C7BD" w14:textId="77777777" w:rsidR="007D5AF3" w:rsidRDefault="00000000">
            <w:pPr>
              <w:spacing w:before="240" w:line="276" w:lineRule="auto"/>
              <w:jc w:val="right"/>
            </w:pPr>
            <w:r>
              <w:t>57.3%</w:t>
            </w:r>
          </w:p>
        </w:tc>
      </w:tr>
      <w:tr w:rsidR="007D5AF3" w14:paraId="6E22360D"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03584DCC" w14:textId="77777777" w:rsidR="007D5AF3" w:rsidRDefault="00000000">
            <w:pPr>
              <w:spacing w:before="240" w:line="276" w:lineRule="auto"/>
              <w:jc w:val="right"/>
            </w:pPr>
            <w:r>
              <w:t>60-64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DAD501E" w14:textId="77777777" w:rsidR="007D5AF3" w:rsidRDefault="00000000">
            <w:pPr>
              <w:spacing w:before="240" w:line="276" w:lineRule="auto"/>
              <w:jc w:val="right"/>
            </w:pPr>
            <w:r>
              <w:t>2,962,892</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CE773E7" w14:textId="77777777" w:rsidR="007D5AF3" w:rsidRDefault="00000000">
            <w:pPr>
              <w:spacing w:before="240" w:line="276" w:lineRule="auto"/>
              <w:jc w:val="right"/>
            </w:pPr>
            <w:r>
              <w:t>1,717,147</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6563910" w14:textId="77777777" w:rsidR="007D5AF3" w:rsidRDefault="00000000">
            <w:pPr>
              <w:spacing w:before="240" w:line="276" w:lineRule="auto"/>
              <w:jc w:val="right"/>
            </w:pPr>
            <w:r>
              <w:t>6.975%</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4D7F3F9" w14:textId="77777777" w:rsidR="007D5AF3" w:rsidRDefault="00000000">
            <w:pPr>
              <w:spacing w:before="240" w:line="276" w:lineRule="auto"/>
              <w:jc w:val="right"/>
            </w:pPr>
            <w:r>
              <w:t>6.956%</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BB79D82" w14:textId="77777777" w:rsidR="007D5AF3" w:rsidRDefault="00000000">
            <w:pPr>
              <w:spacing w:before="240" w:line="276" w:lineRule="auto"/>
              <w:jc w:val="right"/>
            </w:pPr>
            <w:r>
              <w:t>58.0%</w:t>
            </w:r>
          </w:p>
        </w:tc>
      </w:tr>
      <w:tr w:rsidR="007D5AF3" w14:paraId="2C966EDD"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318088E9" w14:textId="77777777" w:rsidR="007D5AF3" w:rsidRDefault="00000000">
            <w:pPr>
              <w:spacing w:before="240" w:line="276" w:lineRule="auto"/>
              <w:jc w:val="right"/>
            </w:pPr>
            <w:r>
              <w:t>65-69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B11139C" w14:textId="77777777" w:rsidR="007D5AF3" w:rsidRDefault="00000000">
            <w:pPr>
              <w:spacing w:before="240" w:line="276" w:lineRule="auto"/>
              <w:jc w:val="right"/>
            </w:pPr>
            <w:r>
              <w:t>2,769,527</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92A0DA8" w14:textId="77777777" w:rsidR="007D5AF3" w:rsidRDefault="00000000">
            <w:pPr>
              <w:spacing w:before="240" w:line="276" w:lineRule="auto"/>
              <w:jc w:val="right"/>
            </w:pPr>
            <w:r>
              <w:t>1,622,228</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D5AB288" w14:textId="77777777" w:rsidR="007D5AF3" w:rsidRDefault="00000000">
            <w:pPr>
              <w:spacing w:before="240" w:line="276" w:lineRule="auto"/>
              <w:jc w:val="right"/>
            </w:pPr>
            <w:r>
              <w:t>6.520%</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B7FF6B4" w14:textId="77777777" w:rsidR="007D5AF3" w:rsidRDefault="00000000">
            <w:pPr>
              <w:spacing w:before="240" w:line="276" w:lineRule="auto"/>
              <w:jc w:val="right"/>
            </w:pPr>
            <w:r>
              <w:t>6.572%</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728356E" w14:textId="77777777" w:rsidR="007D5AF3" w:rsidRDefault="00000000">
            <w:pPr>
              <w:spacing w:before="240" w:line="276" w:lineRule="auto"/>
              <w:jc w:val="right"/>
            </w:pPr>
            <w:r>
              <w:t>58.6%</w:t>
            </w:r>
          </w:p>
        </w:tc>
      </w:tr>
      <w:tr w:rsidR="007D5AF3" w14:paraId="71FD1769"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227ED14" w14:textId="77777777" w:rsidR="007D5AF3" w:rsidRDefault="00000000">
            <w:pPr>
              <w:spacing w:before="240" w:line="276" w:lineRule="auto"/>
              <w:jc w:val="right"/>
            </w:pPr>
            <w:r>
              <w:t>70-74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0BED51B" w14:textId="77777777" w:rsidR="007D5AF3" w:rsidRDefault="00000000">
            <w:pPr>
              <w:spacing w:before="240" w:line="276" w:lineRule="auto"/>
              <w:jc w:val="right"/>
            </w:pPr>
            <w:r>
              <w:t>2,124,918</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4025987" w14:textId="77777777" w:rsidR="007D5AF3" w:rsidRDefault="00000000">
            <w:pPr>
              <w:spacing w:before="240" w:line="276" w:lineRule="auto"/>
              <w:jc w:val="right"/>
            </w:pPr>
            <w:r>
              <w:t>1,250,336</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9317F76" w14:textId="77777777" w:rsidR="007D5AF3" w:rsidRDefault="00000000">
            <w:pPr>
              <w:spacing w:before="240" w:line="276" w:lineRule="auto"/>
              <w:jc w:val="right"/>
            </w:pPr>
            <w:r>
              <w:t>5.002%</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AF3AF88" w14:textId="77777777" w:rsidR="007D5AF3" w:rsidRDefault="00000000">
            <w:pPr>
              <w:spacing w:before="240" w:line="276" w:lineRule="auto"/>
              <w:jc w:val="right"/>
            </w:pPr>
            <w:r>
              <w:t>5.065%</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1A1A9D5" w14:textId="77777777" w:rsidR="007D5AF3" w:rsidRDefault="00000000">
            <w:pPr>
              <w:spacing w:before="240" w:line="276" w:lineRule="auto"/>
              <w:jc w:val="right"/>
            </w:pPr>
            <w:r>
              <w:t>58.8%</w:t>
            </w:r>
          </w:p>
        </w:tc>
      </w:tr>
      <w:tr w:rsidR="007D5AF3" w14:paraId="17C3A336"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1577F87B" w14:textId="77777777" w:rsidR="007D5AF3" w:rsidRDefault="00000000">
            <w:pPr>
              <w:spacing w:before="240" w:line="276" w:lineRule="auto"/>
              <w:jc w:val="right"/>
            </w:pPr>
            <w:r>
              <w:t>75_79</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684385D" w14:textId="77777777" w:rsidR="007D5AF3" w:rsidRDefault="00000000">
            <w:pPr>
              <w:spacing w:before="240" w:line="276" w:lineRule="auto"/>
              <w:jc w:val="right"/>
            </w:pPr>
            <w:r>
              <w:t>1,133,108</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9730BAD" w14:textId="77777777" w:rsidR="007D5AF3" w:rsidRDefault="00000000">
            <w:pPr>
              <w:spacing w:before="240" w:line="276" w:lineRule="auto"/>
              <w:jc w:val="right"/>
            </w:pPr>
            <w:r>
              <w:t>664,057</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D938EB1" w14:textId="77777777" w:rsidR="007D5AF3" w:rsidRDefault="00000000">
            <w:pPr>
              <w:spacing w:before="240" w:line="276" w:lineRule="auto"/>
              <w:jc w:val="right"/>
            </w:pPr>
            <w:r>
              <w:t>2.668%</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0D5E189" w14:textId="77777777" w:rsidR="007D5AF3" w:rsidRDefault="00000000">
            <w:pPr>
              <w:spacing w:before="240" w:line="276" w:lineRule="auto"/>
              <w:jc w:val="right"/>
            </w:pPr>
            <w:r>
              <w:t>2.690%</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83A1850" w14:textId="77777777" w:rsidR="007D5AF3" w:rsidRDefault="00000000">
            <w:pPr>
              <w:spacing w:before="240" w:line="276" w:lineRule="auto"/>
              <w:jc w:val="right"/>
            </w:pPr>
            <w:r>
              <w:t>58.6%</w:t>
            </w:r>
          </w:p>
        </w:tc>
      </w:tr>
      <w:tr w:rsidR="007D5AF3" w14:paraId="0E2C3D85"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4759028B" w14:textId="77777777" w:rsidR="007D5AF3" w:rsidRDefault="00000000">
            <w:pPr>
              <w:spacing w:before="240" w:line="276" w:lineRule="auto"/>
              <w:jc w:val="right"/>
            </w:pPr>
            <w:r>
              <w:t>80_84</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CC3639D" w14:textId="77777777" w:rsidR="007D5AF3" w:rsidRDefault="00000000">
            <w:pPr>
              <w:spacing w:before="240" w:line="276" w:lineRule="auto"/>
              <w:jc w:val="right"/>
            </w:pPr>
            <w:r>
              <w:t>964,183</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ED16510" w14:textId="77777777" w:rsidR="007D5AF3" w:rsidRDefault="00000000">
            <w:pPr>
              <w:spacing w:before="240" w:line="276" w:lineRule="auto"/>
              <w:jc w:val="right"/>
            </w:pPr>
            <w:r>
              <w:t>562,909</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21EE749" w14:textId="77777777" w:rsidR="007D5AF3" w:rsidRDefault="00000000">
            <w:pPr>
              <w:spacing w:before="240" w:line="276" w:lineRule="auto"/>
              <w:jc w:val="right"/>
            </w:pPr>
            <w:r>
              <w:t>2.270%</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69BB881" w14:textId="77777777" w:rsidR="007D5AF3" w:rsidRDefault="00000000">
            <w:pPr>
              <w:spacing w:before="240" w:line="276" w:lineRule="auto"/>
              <w:jc w:val="right"/>
            </w:pPr>
            <w:r>
              <w:t>2.280%</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F0216A9" w14:textId="77777777" w:rsidR="007D5AF3" w:rsidRDefault="00000000">
            <w:pPr>
              <w:spacing w:before="240" w:line="276" w:lineRule="auto"/>
              <w:jc w:val="right"/>
            </w:pPr>
            <w:r>
              <w:t>58.4%</w:t>
            </w:r>
          </w:p>
        </w:tc>
      </w:tr>
      <w:tr w:rsidR="007D5AF3" w14:paraId="64EFAE97" w14:textId="77777777" w:rsidTr="001376B1">
        <w:trPr>
          <w:trHeight w:val="285"/>
        </w:trPr>
        <w:tc>
          <w:tcPr>
            <w:tcW w:w="118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5240CEFD" w14:textId="77777777" w:rsidR="007D5AF3" w:rsidRDefault="00000000">
            <w:pPr>
              <w:spacing w:before="240" w:line="276" w:lineRule="auto"/>
              <w:jc w:val="right"/>
            </w:pPr>
            <w:r>
              <w:t>Other</w:t>
            </w:r>
          </w:p>
        </w:tc>
        <w:tc>
          <w:tcPr>
            <w:tcW w:w="1406"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B51982E" w14:textId="77777777" w:rsidR="007D5AF3" w:rsidRDefault="00000000">
            <w:pPr>
              <w:spacing w:before="240" w:line="276" w:lineRule="auto"/>
              <w:jc w:val="right"/>
            </w:pPr>
            <w:r>
              <w:t>890,745</w:t>
            </w:r>
          </w:p>
        </w:tc>
        <w:tc>
          <w:tcPr>
            <w:tcW w:w="125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447CF24" w14:textId="77777777" w:rsidR="007D5AF3" w:rsidRDefault="00000000">
            <w:pPr>
              <w:spacing w:before="240" w:line="276" w:lineRule="auto"/>
              <w:jc w:val="right"/>
            </w:pPr>
            <w:r>
              <w:t>522,244</w:t>
            </w:r>
          </w:p>
        </w:tc>
        <w:tc>
          <w:tcPr>
            <w:tcW w:w="1108"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1E254EB" w14:textId="77777777" w:rsidR="007D5AF3" w:rsidRDefault="00000000">
            <w:pPr>
              <w:spacing w:before="240" w:line="276" w:lineRule="auto"/>
              <w:jc w:val="right"/>
            </w:pPr>
            <w:r>
              <w:t>2.097%</w:t>
            </w:r>
          </w:p>
        </w:tc>
        <w:tc>
          <w:tcPr>
            <w:tcW w:w="126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2E0A818" w14:textId="77777777" w:rsidR="007D5AF3" w:rsidRDefault="00000000">
            <w:pPr>
              <w:spacing w:before="240" w:line="276" w:lineRule="auto"/>
              <w:jc w:val="right"/>
            </w:pPr>
            <w:r>
              <w:t>2.116%</w:t>
            </w:r>
          </w:p>
        </w:tc>
        <w:tc>
          <w:tcPr>
            <w:tcW w:w="24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F9D69C6" w14:textId="77777777" w:rsidR="007D5AF3" w:rsidRDefault="00000000">
            <w:pPr>
              <w:spacing w:before="240" w:line="276" w:lineRule="auto"/>
              <w:jc w:val="right"/>
            </w:pPr>
            <w:r>
              <w:t>58.6%</w:t>
            </w:r>
          </w:p>
        </w:tc>
      </w:tr>
    </w:tbl>
    <w:p w14:paraId="5A09B2A4" w14:textId="77777777" w:rsidR="007D5AF3" w:rsidRDefault="007D5AF3">
      <w:pPr>
        <w:spacing w:line="360" w:lineRule="auto"/>
      </w:pPr>
    </w:p>
    <w:p w14:paraId="41172AF9" w14:textId="77777777" w:rsidR="007D5AF3" w:rsidRDefault="00000000" w:rsidP="001376B1">
      <w:pPr>
        <w:spacing w:line="360" w:lineRule="auto"/>
        <w:ind w:left="720"/>
      </w:pPr>
      <w:r>
        <w:t>Based on the table above, we can visualize the chart in order to see the distribution and variance between each group age.</w:t>
      </w:r>
    </w:p>
    <w:p w14:paraId="30D873CA" w14:textId="77777777" w:rsidR="007D5AF3" w:rsidRDefault="00000000" w:rsidP="001376B1">
      <w:pPr>
        <w:spacing w:line="360" w:lineRule="auto"/>
        <w:ind w:left="720"/>
      </w:pPr>
      <w:r>
        <w:rPr>
          <w:noProof/>
        </w:rPr>
        <w:drawing>
          <wp:inline distT="114300" distB="114300" distL="114300" distR="114300" wp14:anchorId="09815D41" wp14:editId="7D86CE4C">
            <wp:extent cx="5303520" cy="3038475"/>
            <wp:effectExtent l="0" t="0" r="0"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303520" cy="3038475"/>
                    </a:xfrm>
                    <a:prstGeom prst="rect">
                      <a:avLst/>
                    </a:prstGeom>
                    <a:ln/>
                  </pic:spPr>
                </pic:pic>
              </a:graphicData>
            </a:graphic>
          </wp:inline>
        </w:drawing>
      </w:r>
    </w:p>
    <w:p w14:paraId="7ADEE458" w14:textId="126F1662" w:rsidR="007D5AF3" w:rsidRDefault="00000000" w:rsidP="001376B1">
      <w:pPr>
        <w:spacing w:line="360" w:lineRule="auto"/>
        <w:ind w:left="720"/>
      </w:pPr>
      <w:r>
        <w:t xml:space="preserve">As you can see in this distribution chart, the group age between 25 to 49 years old have the highest percentage in the total vaccinated population. </w:t>
      </w:r>
    </w:p>
    <w:p w14:paraId="5619D9D2" w14:textId="77777777" w:rsidR="001376B1" w:rsidRDefault="001376B1" w:rsidP="001376B1">
      <w:pPr>
        <w:spacing w:line="360" w:lineRule="auto"/>
        <w:ind w:left="720"/>
      </w:pPr>
    </w:p>
    <w:p w14:paraId="53EB0D9C" w14:textId="77777777" w:rsidR="007D5AF3" w:rsidRDefault="00000000" w:rsidP="001376B1">
      <w:pPr>
        <w:spacing w:line="360" w:lineRule="auto"/>
        <w:ind w:left="720"/>
      </w:pPr>
      <w:r>
        <w:rPr>
          <w:noProof/>
        </w:rPr>
        <w:drawing>
          <wp:inline distT="114300" distB="114300" distL="114300" distR="114300" wp14:anchorId="22EA8E03" wp14:editId="20F69E61">
            <wp:extent cx="5303520" cy="303580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03520" cy="3035808"/>
                    </a:xfrm>
                    <a:prstGeom prst="rect">
                      <a:avLst/>
                    </a:prstGeom>
                    <a:ln/>
                  </pic:spPr>
                </pic:pic>
              </a:graphicData>
            </a:graphic>
          </wp:inline>
        </w:drawing>
      </w:r>
    </w:p>
    <w:p w14:paraId="7B760D6F" w14:textId="77777777" w:rsidR="007D5AF3" w:rsidRDefault="00000000" w:rsidP="001376B1">
      <w:pPr>
        <w:spacing w:line="360" w:lineRule="auto"/>
        <w:ind w:left="720"/>
      </w:pPr>
      <w:r>
        <w:lastRenderedPageBreak/>
        <w:t>In vaccinated percent chart, we can see that, the vaccinated percent distributed between 56% to 59% and there is no significant variance between each group ages.</w:t>
      </w:r>
    </w:p>
    <w:p w14:paraId="1412EB08" w14:textId="7E9956B8" w:rsidR="00F636EB" w:rsidRDefault="00F636EB" w:rsidP="001376B1">
      <w:pPr>
        <w:spacing w:line="360" w:lineRule="auto"/>
        <w:ind w:left="720"/>
      </w:pPr>
      <w:r w:rsidRPr="00F636EB">
        <w:t xml:space="preserve">Hence, we conclude that we reject </w:t>
      </w:r>
      <w:r w:rsidRPr="00F636EB">
        <w:rPr>
          <w:b/>
          <w:bCs/>
          <w:i/>
          <w:iCs/>
        </w:rPr>
        <w:t>Hypothesis 3</w:t>
      </w:r>
      <w:r w:rsidRPr="00F636EB">
        <w:t xml:space="preserve"> which the decision to vaccinate against COVID-19 is not influenced just by one's age.</w:t>
      </w:r>
    </w:p>
    <w:p w14:paraId="232093E7" w14:textId="12D3A0B0" w:rsidR="007D5AF3" w:rsidRDefault="00000000" w:rsidP="00520117">
      <w:pPr>
        <w:pStyle w:val="Heading3"/>
        <w:numPr>
          <w:ilvl w:val="1"/>
          <w:numId w:val="5"/>
        </w:numPr>
        <w:ind w:left="1440" w:hanging="720"/>
        <w:rPr>
          <w:b w:val="0"/>
        </w:rPr>
      </w:pPr>
      <w:bookmarkStart w:id="17" w:name="_Toc166417725"/>
      <w:r>
        <w:t>Neighborhood effects and the contagious nature of vaccination propensity</w:t>
      </w:r>
      <w:bookmarkEnd w:id="17"/>
    </w:p>
    <w:p w14:paraId="33D6BB64" w14:textId="632185D8" w:rsidR="007D5AF3" w:rsidRDefault="00000000" w:rsidP="001376B1">
      <w:pPr>
        <w:spacing w:line="360" w:lineRule="auto"/>
        <w:ind w:left="720"/>
      </w:pPr>
      <w:r>
        <w:t xml:space="preserve">After performing maximum likelihood, we kept factors that influenced vaccination </w:t>
      </w:r>
      <w:r w:rsidR="001376B1">
        <w:t>selection. The parameter estimations are given below:</w:t>
      </w:r>
    </w:p>
    <w:p w14:paraId="582F672F" w14:textId="77777777" w:rsidR="008D5495" w:rsidRDefault="008D5495" w:rsidP="008D5495">
      <w:pPr>
        <w:spacing w:line="360" w:lineRule="auto"/>
      </w:pPr>
    </w:p>
    <w:tbl>
      <w:tblPr>
        <w:tblpPr w:leftFromText="180" w:rightFromText="180" w:topFromText="180" w:bottomFromText="180" w:vertAnchor="text" w:horzAnchor="margin" w:tblpX="716" w:tblpY="5"/>
        <w:tblW w:w="8546" w:type="dxa"/>
        <w:tblBorders>
          <w:top w:val="nil"/>
          <w:left w:val="nil"/>
          <w:bottom w:val="nil"/>
          <w:right w:val="nil"/>
          <w:insideH w:val="nil"/>
          <w:insideV w:val="nil"/>
        </w:tblBorders>
        <w:tblLayout w:type="fixed"/>
        <w:tblLook w:val="0600" w:firstRow="0" w:lastRow="0" w:firstColumn="0" w:lastColumn="0" w:noHBand="1" w:noVBand="1"/>
      </w:tblPr>
      <w:tblGrid>
        <w:gridCol w:w="3326"/>
        <w:gridCol w:w="454"/>
        <w:gridCol w:w="1080"/>
        <w:gridCol w:w="1256"/>
        <w:gridCol w:w="990"/>
        <w:gridCol w:w="1440"/>
      </w:tblGrid>
      <w:tr w:rsidR="008D5495" w14:paraId="3216BC28" w14:textId="77777777" w:rsidTr="008D5495">
        <w:trPr>
          <w:trHeight w:val="415"/>
        </w:trPr>
        <w:tc>
          <w:tcPr>
            <w:tcW w:w="8546" w:type="dxa"/>
            <w:gridSpan w:val="6"/>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007C0D4C" w14:textId="77777777" w:rsidR="008D5495" w:rsidRDefault="008D5495" w:rsidP="008D5495">
            <w:pPr>
              <w:spacing w:line="360" w:lineRule="auto"/>
              <w:ind w:left="-120"/>
              <w:jc w:val="center"/>
              <w:rPr>
                <w:b/>
              </w:rPr>
            </w:pPr>
            <w:r>
              <w:rPr>
                <w:b/>
              </w:rPr>
              <w:t>Analysis of Maximum Likelihood Estimates</w:t>
            </w:r>
          </w:p>
        </w:tc>
      </w:tr>
      <w:tr w:rsidR="008D5495" w14:paraId="3330AEC1"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2D3D1011" w14:textId="77777777" w:rsidR="008D5495" w:rsidRDefault="008D5495" w:rsidP="008D5495">
            <w:pPr>
              <w:spacing w:line="360" w:lineRule="auto"/>
              <w:jc w:val="center"/>
            </w:pPr>
            <w:r>
              <w:rPr>
                <w:b/>
              </w:rPr>
              <w:t>Parameter</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A9E30BC" w14:textId="77777777" w:rsidR="008D5495" w:rsidRDefault="008D5495" w:rsidP="008D5495">
            <w:pPr>
              <w:spacing w:line="360" w:lineRule="auto"/>
              <w:jc w:val="center"/>
            </w:pPr>
            <w:r>
              <w:rPr>
                <w:b/>
              </w:rPr>
              <w:t>DF</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41C0623E" w14:textId="77777777" w:rsidR="008D5495" w:rsidRDefault="008D5495" w:rsidP="008D5495">
            <w:pPr>
              <w:spacing w:line="360" w:lineRule="auto"/>
              <w:jc w:val="center"/>
            </w:pPr>
            <w:r>
              <w:rPr>
                <w:b/>
              </w:rPr>
              <w:t>Estimate</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C85C0BA" w14:textId="77777777" w:rsidR="008D5495" w:rsidRDefault="008D5495" w:rsidP="008D5495">
            <w:pPr>
              <w:spacing w:line="360" w:lineRule="auto"/>
              <w:jc w:val="center"/>
            </w:pPr>
            <w:r>
              <w:rPr>
                <w:b/>
              </w:rPr>
              <w:t>Error</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23F536D" w14:textId="77777777" w:rsidR="008D5495" w:rsidRDefault="008D5495" w:rsidP="008D5495">
            <w:pPr>
              <w:spacing w:line="360" w:lineRule="auto"/>
              <w:jc w:val="center"/>
            </w:pPr>
            <w:r>
              <w:rPr>
                <w:b/>
              </w:rPr>
              <w:t>t Value</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52702462" w14:textId="77777777" w:rsidR="008D5495" w:rsidRDefault="008D5495" w:rsidP="008D5495">
            <w:pPr>
              <w:spacing w:line="360" w:lineRule="auto"/>
              <w:jc w:val="center"/>
            </w:pPr>
            <w:r>
              <w:rPr>
                <w:b/>
              </w:rPr>
              <w:t>Pr &gt; |t|</w:t>
            </w:r>
          </w:p>
        </w:tc>
      </w:tr>
      <w:tr w:rsidR="008D5495" w14:paraId="3AAB46B3" w14:textId="77777777" w:rsidTr="008D5495">
        <w:trPr>
          <w:trHeight w:val="415"/>
        </w:trPr>
        <w:tc>
          <w:tcPr>
            <w:tcW w:w="3326" w:type="dxa"/>
            <w:tcBorders>
              <w:top w:val="single" w:sz="3" w:space="0" w:color="000000"/>
              <w:left w:val="single" w:sz="3" w:space="0" w:color="000000"/>
              <w:bottom w:val="single" w:sz="3" w:space="0" w:color="000000"/>
              <w:right w:val="nil"/>
            </w:tcBorders>
            <w:tcMar>
              <w:top w:w="20" w:type="dxa"/>
              <w:left w:w="20" w:type="dxa"/>
              <w:right w:w="20" w:type="dxa"/>
            </w:tcMar>
            <w:vAlign w:val="bottom"/>
          </w:tcPr>
          <w:p w14:paraId="6DACE2D9" w14:textId="77777777" w:rsidR="008D5495" w:rsidRDefault="008D5495" w:rsidP="008D5495">
            <w:pPr>
              <w:spacing w:line="360" w:lineRule="auto"/>
            </w:pPr>
            <w:r>
              <w:t xml:space="preserve"> </w:t>
            </w:r>
          </w:p>
        </w:tc>
        <w:tc>
          <w:tcPr>
            <w:tcW w:w="454" w:type="dxa"/>
            <w:tcBorders>
              <w:top w:val="single" w:sz="3" w:space="0" w:color="000000"/>
              <w:left w:val="nil"/>
              <w:bottom w:val="single" w:sz="3" w:space="0" w:color="000000"/>
              <w:right w:val="nil"/>
            </w:tcBorders>
            <w:tcMar>
              <w:top w:w="20" w:type="dxa"/>
              <w:left w:w="20" w:type="dxa"/>
              <w:right w:w="20" w:type="dxa"/>
            </w:tcMar>
            <w:vAlign w:val="center"/>
          </w:tcPr>
          <w:p w14:paraId="1C879CA4" w14:textId="77777777" w:rsidR="008D5495" w:rsidRDefault="008D5495" w:rsidP="008D5495">
            <w:pPr>
              <w:spacing w:line="360" w:lineRule="auto"/>
              <w:jc w:val="right"/>
            </w:pPr>
            <w:r>
              <w:t xml:space="preserve"> </w:t>
            </w:r>
          </w:p>
        </w:tc>
        <w:tc>
          <w:tcPr>
            <w:tcW w:w="1080" w:type="dxa"/>
            <w:tcBorders>
              <w:top w:val="single" w:sz="3" w:space="0" w:color="000000"/>
              <w:left w:val="nil"/>
              <w:bottom w:val="single" w:sz="3" w:space="0" w:color="000000"/>
              <w:right w:val="nil"/>
            </w:tcBorders>
            <w:tcMar>
              <w:top w:w="20" w:type="dxa"/>
              <w:left w:w="20" w:type="dxa"/>
              <w:right w:w="20" w:type="dxa"/>
            </w:tcMar>
            <w:vAlign w:val="center"/>
          </w:tcPr>
          <w:p w14:paraId="1990F228" w14:textId="77777777" w:rsidR="008D5495" w:rsidRDefault="008D5495" w:rsidP="008D5495">
            <w:pPr>
              <w:spacing w:line="360" w:lineRule="auto"/>
              <w:jc w:val="right"/>
            </w:pPr>
            <w:r>
              <w:t xml:space="preserve"> </w:t>
            </w:r>
          </w:p>
        </w:tc>
        <w:tc>
          <w:tcPr>
            <w:tcW w:w="1256" w:type="dxa"/>
            <w:tcBorders>
              <w:top w:val="single" w:sz="3" w:space="0" w:color="000000"/>
              <w:left w:val="nil"/>
              <w:bottom w:val="single" w:sz="3" w:space="0" w:color="000000"/>
              <w:right w:val="nil"/>
            </w:tcBorders>
            <w:tcMar>
              <w:top w:w="20" w:type="dxa"/>
              <w:left w:w="20" w:type="dxa"/>
              <w:right w:w="20" w:type="dxa"/>
            </w:tcMar>
            <w:vAlign w:val="center"/>
          </w:tcPr>
          <w:p w14:paraId="68A6B34F" w14:textId="77777777" w:rsidR="008D5495" w:rsidRDefault="008D5495" w:rsidP="008D5495">
            <w:pPr>
              <w:spacing w:line="360" w:lineRule="auto"/>
              <w:jc w:val="right"/>
            </w:pPr>
            <w:r>
              <w:t xml:space="preserve"> </w:t>
            </w:r>
          </w:p>
        </w:tc>
        <w:tc>
          <w:tcPr>
            <w:tcW w:w="990" w:type="dxa"/>
            <w:tcBorders>
              <w:top w:val="single" w:sz="3" w:space="0" w:color="000000"/>
              <w:left w:val="nil"/>
              <w:bottom w:val="single" w:sz="3" w:space="0" w:color="000000"/>
              <w:right w:val="nil"/>
            </w:tcBorders>
            <w:tcMar>
              <w:top w:w="20" w:type="dxa"/>
              <w:left w:w="20" w:type="dxa"/>
              <w:right w:w="20" w:type="dxa"/>
            </w:tcMar>
            <w:vAlign w:val="center"/>
          </w:tcPr>
          <w:p w14:paraId="5E39C22D" w14:textId="77777777" w:rsidR="008D5495" w:rsidRDefault="008D5495" w:rsidP="008D5495">
            <w:pPr>
              <w:spacing w:line="360" w:lineRule="auto"/>
              <w:jc w:val="right"/>
            </w:pPr>
            <w:r>
              <w:t xml:space="preserve"> </w:t>
            </w:r>
          </w:p>
        </w:tc>
        <w:tc>
          <w:tcPr>
            <w:tcW w:w="1440" w:type="dxa"/>
            <w:tcBorders>
              <w:top w:val="single" w:sz="3" w:space="0" w:color="000000"/>
              <w:left w:val="nil"/>
              <w:bottom w:val="single" w:sz="3" w:space="0" w:color="000000"/>
              <w:right w:val="single" w:sz="3" w:space="0" w:color="000000"/>
            </w:tcBorders>
            <w:tcMar>
              <w:top w:w="20" w:type="dxa"/>
              <w:left w:w="20" w:type="dxa"/>
              <w:right w:w="20" w:type="dxa"/>
            </w:tcMar>
            <w:vAlign w:val="center"/>
          </w:tcPr>
          <w:p w14:paraId="68DB2870" w14:textId="77777777" w:rsidR="008D5495" w:rsidRDefault="008D5495" w:rsidP="008D5495">
            <w:pPr>
              <w:spacing w:line="360" w:lineRule="auto"/>
              <w:jc w:val="right"/>
            </w:pPr>
            <w:r>
              <w:t xml:space="preserve"> </w:t>
            </w:r>
          </w:p>
        </w:tc>
      </w:tr>
      <w:tr w:rsidR="008D5495" w14:paraId="0BE6B876"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57C41E16" w14:textId="77777777" w:rsidR="008D5495" w:rsidRDefault="008D5495" w:rsidP="008D5495">
            <w:pPr>
              <w:spacing w:line="360" w:lineRule="auto"/>
            </w:pPr>
            <w:r>
              <w:t>Intercept</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9C322C3"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E195479" w14:textId="77777777" w:rsidR="008D5495" w:rsidRDefault="008D5495" w:rsidP="008D5495">
            <w:pPr>
              <w:spacing w:line="360" w:lineRule="auto"/>
              <w:jc w:val="right"/>
            </w:pPr>
            <w:r>
              <w:t>74.4056</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5CCAAAA7" w14:textId="77777777" w:rsidR="008D5495" w:rsidRDefault="008D5495" w:rsidP="008D5495">
            <w:pPr>
              <w:spacing w:line="360" w:lineRule="auto"/>
              <w:jc w:val="right"/>
            </w:pPr>
            <w:r>
              <w:t>9.4045</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601BCE1" w14:textId="77777777" w:rsidR="008D5495" w:rsidRDefault="008D5495" w:rsidP="008D5495">
            <w:pPr>
              <w:spacing w:line="360" w:lineRule="auto"/>
              <w:jc w:val="right"/>
            </w:pPr>
            <w:r>
              <w:t>7.91</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BB7F960" w14:textId="77777777" w:rsidR="008D5495" w:rsidRDefault="008D5495" w:rsidP="008D5495">
            <w:pPr>
              <w:spacing w:line="360" w:lineRule="auto"/>
              <w:jc w:val="right"/>
            </w:pPr>
            <w:r>
              <w:t>&lt;.0001</w:t>
            </w:r>
          </w:p>
        </w:tc>
      </w:tr>
      <w:tr w:rsidR="008D5495" w14:paraId="7F5E7FBE"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2D3F3F97" w14:textId="77777777" w:rsidR="008D5495" w:rsidRDefault="008D5495" w:rsidP="008D5495">
            <w:pPr>
              <w:spacing w:line="360" w:lineRule="auto"/>
            </w:pPr>
            <w:r>
              <w:t>appartments_per_1000_persons</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E774A96"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1754850" w14:textId="77777777" w:rsidR="008D5495" w:rsidRDefault="008D5495" w:rsidP="008D5495">
            <w:pPr>
              <w:spacing w:line="360" w:lineRule="auto"/>
              <w:jc w:val="right"/>
            </w:pPr>
            <w:r>
              <w:t>-0.0352</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B640D97" w14:textId="77777777" w:rsidR="008D5495" w:rsidRDefault="008D5495" w:rsidP="008D5495">
            <w:pPr>
              <w:spacing w:line="360" w:lineRule="auto"/>
              <w:jc w:val="right"/>
            </w:pPr>
            <w:r>
              <w:t>0.00991</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86A1C52" w14:textId="77777777" w:rsidR="008D5495" w:rsidRDefault="008D5495" w:rsidP="008D5495">
            <w:pPr>
              <w:spacing w:line="360" w:lineRule="auto"/>
              <w:jc w:val="right"/>
            </w:pPr>
            <w:r>
              <w:t>-3.55</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9CD2DAF" w14:textId="77777777" w:rsidR="008D5495" w:rsidRDefault="008D5495" w:rsidP="008D5495">
            <w:pPr>
              <w:spacing w:line="360" w:lineRule="auto"/>
              <w:jc w:val="right"/>
            </w:pPr>
            <w:r>
              <w:t>0.0004</w:t>
            </w:r>
          </w:p>
        </w:tc>
      </w:tr>
      <w:tr w:rsidR="008D5495" w14:paraId="44F00E43"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67578ED0" w14:textId="77777777" w:rsidR="008D5495" w:rsidRDefault="008D5495" w:rsidP="008D5495">
            <w:pPr>
              <w:spacing w:line="360" w:lineRule="auto"/>
            </w:pPr>
            <w:r>
              <w:t>entities_registered_per_10k_pers</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50EA5E5"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DFEFDFC" w14:textId="77777777" w:rsidR="008D5495" w:rsidRDefault="008D5495" w:rsidP="008D5495">
            <w:pPr>
              <w:spacing w:line="360" w:lineRule="auto"/>
              <w:jc w:val="right"/>
            </w:pPr>
            <w:r>
              <w:t>0.00238</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A62846F" w14:textId="77777777" w:rsidR="008D5495" w:rsidRDefault="008D5495" w:rsidP="008D5495">
            <w:pPr>
              <w:spacing w:line="360" w:lineRule="auto"/>
              <w:jc w:val="right"/>
            </w:pPr>
            <w:r>
              <w:t>0.000584</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07F9900" w14:textId="77777777" w:rsidR="008D5495" w:rsidRDefault="008D5495" w:rsidP="008D5495">
            <w:pPr>
              <w:spacing w:line="360" w:lineRule="auto"/>
              <w:jc w:val="right"/>
            </w:pPr>
            <w:r>
              <w:t>4.08</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A1D6673" w14:textId="77777777" w:rsidR="008D5495" w:rsidRDefault="008D5495" w:rsidP="008D5495">
            <w:pPr>
              <w:spacing w:line="360" w:lineRule="auto"/>
              <w:jc w:val="right"/>
            </w:pPr>
            <w:r>
              <w:t>&lt;.0001</w:t>
            </w:r>
          </w:p>
        </w:tc>
      </w:tr>
      <w:tr w:rsidR="008D5495" w14:paraId="292D5849"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485FFAEE" w14:textId="77777777" w:rsidR="008D5495" w:rsidRDefault="008D5495" w:rsidP="008D5495">
            <w:pPr>
              <w:spacing w:line="360" w:lineRule="auto"/>
            </w:pPr>
            <w:r>
              <w:t>forests_area</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52A4717"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1F613E5" w14:textId="77777777" w:rsidR="008D5495" w:rsidRDefault="008D5495" w:rsidP="008D5495">
            <w:pPr>
              <w:spacing w:line="360" w:lineRule="auto"/>
              <w:jc w:val="right"/>
            </w:pPr>
            <w:r>
              <w:t>-0.00204</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8663087" w14:textId="77777777" w:rsidR="008D5495" w:rsidRDefault="008D5495" w:rsidP="008D5495">
            <w:pPr>
              <w:spacing w:line="360" w:lineRule="auto"/>
              <w:jc w:val="right"/>
            </w:pPr>
            <w:r>
              <w:t>0.00022</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436079F1" w14:textId="77777777" w:rsidR="008D5495" w:rsidRDefault="008D5495" w:rsidP="008D5495">
            <w:pPr>
              <w:spacing w:line="360" w:lineRule="auto"/>
              <w:jc w:val="right"/>
            </w:pPr>
            <w:r>
              <w:t>-9.24</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732F6A7" w14:textId="77777777" w:rsidR="008D5495" w:rsidRDefault="008D5495" w:rsidP="008D5495">
            <w:pPr>
              <w:spacing w:line="360" w:lineRule="auto"/>
              <w:jc w:val="right"/>
            </w:pPr>
            <w:r>
              <w:t>&lt;.0001</w:t>
            </w:r>
          </w:p>
        </w:tc>
      </w:tr>
      <w:tr w:rsidR="008D5495" w14:paraId="2100C9B2"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4BA0A669" w14:textId="77777777" w:rsidR="008D5495" w:rsidRDefault="008D5495" w:rsidP="008D5495">
            <w:pPr>
              <w:spacing w:line="360" w:lineRule="auto"/>
            </w:pPr>
            <w:r>
              <w:t>installations_bathroom</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D1CE554"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896C9E5" w14:textId="77777777" w:rsidR="008D5495" w:rsidRDefault="008D5495" w:rsidP="008D5495">
            <w:pPr>
              <w:spacing w:line="360" w:lineRule="auto"/>
              <w:jc w:val="right"/>
            </w:pPr>
            <w:r>
              <w:t>-0.3063</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BCC0BC5" w14:textId="77777777" w:rsidR="008D5495" w:rsidRDefault="008D5495" w:rsidP="008D5495">
            <w:pPr>
              <w:spacing w:line="360" w:lineRule="auto"/>
              <w:jc w:val="right"/>
            </w:pPr>
            <w:r>
              <w:t>0.1298</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DEC332B" w14:textId="77777777" w:rsidR="008D5495" w:rsidRDefault="008D5495" w:rsidP="008D5495">
            <w:pPr>
              <w:spacing w:line="360" w:lineRule="auto"/>
              <w:jc w:val="right"/>
            </w:pPr>
            <w:r>
              <w:t>-2.36</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973F812" w14:textId="77777777" w:rsidR="008D5495" w:rsidRDefault="008D5495" w:rsidP="008D5495">
            <w:pPr>
              <w:spacing w:line="360" w:lineRule="auto"/>
              <w:jc w:val="right"/>
            </w:pPr>
            <w:r>
              <w:t>0.0185</w:t>
            </w:r>
          </w:p>
        </w:tc>
      </w:tr>
      <w:tr w:rsidR="008D5495" w14:paraId="6DFC65F5"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36466E82" w14:textId="77777777" w:rsidR="008D5495" w:rsidRDefault="008D5495" w:rsidP="008D5495">
            <w:pPr>
              <w:spacing w:line="360" w:lineRule="auto"/>
            </w:pPr>
            <w:r>
              <w:t>installations_central_heating</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470A3796"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E033E78" w14:textId="77777777" w:rsidR="008D5495" w:rsidRDefault="008D5495" w:rsidP="008D5495">
            <w:pPr>
              <w:spacing w:line="360" w:lineRule="auto"/>
              <w:jc w:val="right"/>
            </w:pPr>
            <w:r>
              <w:t>0.105</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D807EA7" w14:textId="77777777" w:rsidR="008D5495" w:rsidRDefault="008D5495" w:rsidP="008D5495">
            <w:pPr>
              <w:spacing w:line="360" w:lineRule="auto"/>
              <w:jc w:val="right"/>
            </w:pPr>
            <w:r>
              <w:t>0.0381</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587864A" w14:textId="77777777" w:rsidR="008D5495" w:rsidRDefault="008D5495" w:rsidP="008D5495">
            <w:pPr>
              <w:spacing w:line="360" w:lineRule="auto"/>
              <w:jc w:val="right"/>
            </w:pPr>
            <w:r>
              <w:t>2.76</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B379283" w14:textId="77777777" w:rsidR="008D5495" w:rsidRDefault="008D5495" w:rsidP="008D5495">
            <w:pPr>
              <w:spacing w:line="360" w:lineRule="auto"/>
              <w:jc w:val="right"/>
            </w:pPr>
            <w:r>
              <w:t>0.0059</w:t>
            </w:r>
          </w:p>
        </w:tc>
      </w:tr>
      <w:tr w:rsidR="008D5495" w14:paraId="7B2F4D6D"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06E054F4" w14:textId="77777777" w:rsidR="008D5495" w:rsidRDefault="008D5495" w:rsidP="008D5495">
            <w:pPr>
              <w:spacing w:line="360" w:lineRule="auto"/>
            </w:pPr>
            <w:r>
              <w:t>installations_network_gas</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727CC4F"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CD5F153" w14:textId="77777777" w:rsidR="008D5495" w:rsidRDefault="008D5495" w:rsidP="008D5495">
            <w:pPr>
              <w:spacing w:line="360" w:lineRule="auto"/>
              <w:jc w:val="right"/>
            </w:pPr>
            <w:r>
              <w:t>-0.0371</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697FC4E" w14:textId="77777777" w:rsidR="008D5495" w:rsidRDefault="008D5495" w:rsidP="008D5495">
            <w:pPr>
              <w:spacing w:line="360" w:lineRule="auto"/>
              <w:jc w:val="right"/>
            </w:pPr>
            <w:r>
              <w:t>0.00671</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FB71F9D" w14:textId="77777777" w:rsidR="008D5495" w:rsidRDefault="008D5495" w:rsidP="008D5495">
            <w:pPr>
              <w:spacing w:line="360" w:lineRule="auto"/>
              <w:jc w:val="right"/>
            </w:pPr>
            <w:r>
              <w:t>-5.53</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F44BDBA" w14:textId="77777777" w:rsidR="008D5495" w:rsidRDefault="008D5495" w:rsidP="008D5495">
            <w:pPr>
              <w:spacing w:line="360" w:lineRule="auto"/>
              <w:jc w:val="right"/>
            </w:pPr>
            <w:r>
              <w:t>&lt;.0001</w:t>
            </w:r>
          </w:p>
        </w:tc>
      </w:tr>
      <w:tr w:rsidR="008D5495" w14:paraId="11590A5E"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60BA4C07" w14:textId="77777777" w:rsidR="008D5495" w:rsidRDefault="008D5495" w:rsidP="008D5495">
            <w:pPr>
              <w:spacing w:line="360" w:lineRule="auto"/>
            </w:pPr>
            <w:r>
              <w:t>installations_toilet</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6038514"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015369E" w14:textId="77777777" w:rsidR="008D5495" w:rsidRDefault="008D5495" w:rsidP="008D5495">
            <w:pPr>
              <w:spacing w:line="360" w:lineRule="auto"/>
              <w:jc w:val="right"/>
            </w:pPr>
            <w:r>
              <w:t>0.4881</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8DD29E2" w14:textId="77777777" w:rsidR="008D5495" w:rsidRDefault="008D5495" w:rsidP="008D5495">
            <w:pPr>
              <w:spacing w:line="360" w:lineRule="auto"/>
              <w:jc w:val="right"/>
            </w:pPr>
            <w:r>
              <w:t>0.1515</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79C9ED1" w14:textId="77777777" w:rsidR="008D5495" w:rsidRDefault="008D5495" w:rsidP="008D5495">
            <w:pPr>
              <w:spacing w:line="360" w:lineRule="auto"/>
              <w:jc w:val="right"/>
            </w:pPr>
            <w:r>
              <w:t>3.22</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E8577FD" w14:textId="77777777" w:rsidR="008D5495" w:rsidRDefault="008D5495" w:rsidP="008D5495">
            <w:pPr>
              <w:spacing w:line="360" w:lineRule="auto"/>
              <w:jc w:val="right"/>
            </w:pPr>
            <w:r>
              <w:t>0.0013</w:t>
            </w:r>
          </w:p>
        </w:tc>
      </w:tr>
      <w:tr w:rsidR="008D5495" w14:paraId="4581868C"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1FEF6987" w14:textId="77777777" w:rsidR="008D5495" w:rsidRDefault="008D5495" w:rsidP="008D5495">
            <w:pPr>
              <w:spacing w:line="360" w:lineRule="auto"/>
            </w:pPr>
            <w:r>
              <w:t>installations_watersupply</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EB02E6B"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7F19890" w14:textId="77777777" w:rsidR="008D5495" w:rsidRDefault="008D5495" w:rsidP="008D5495">
            <w:pPr>
              <w:spacing w:line="360" w:lineRule="auto"/>
              <w:jc w:val="right"/>
            </w:pPr>
            <w:r>
              <w:t>-0.1646</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5A76900C" w14:textId="77777777" w:rsidR="008D5495" w:rsidRDefault="008D5495" w:rsidP="008D5495">
            <w:pPr>
              <w:spacing w:line="360" w:lineRule="auto"/>
              <w:jc w:val="right"/>
            </w:pPr>
            <w:r>
              <w:t>0.0755</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180FDFE" w14:textId="77777777" w:rsidR="008D5495" w:rsidRDefault="008D5495" w:rsidP="008D5495">
            <w:pPr>
              <w:spacing w:line="360" w:lineRule="auto"/>
              <w:jc w:val="right"/>
            </w:pPr>
            <w:r>
              <w:t>-2.18</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C9CC6C0" w14:textId="77777777" w:rsidR="008D5495" w:rsidRDefault="008D5495" w:rsidP="008D5495">
            <w:pPr>
              <w:spacing w:line="360" w:lineRule="auto"/>
              <w:jc w:val="right"/>
            </w:pPr>
            <w:r>
              <w:t>0.0294</w:t>
            </w:r>
          </w:p>
        </w:tc>
      </w:tr>
      <w:tr w:rsidR="008D5495" w14:paraId="61474EE9"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151377B0" w14:textId="77777777" w:rsidR="008D5495" w:rsidRDefault="008D5495" w:rsidP="008D5495">
            <w:pPr>
              <w:spacing w:line="360" w:lineRule="auto"/>
            </w:pPr>
            <w:r>
              <w:t>persons_per_appartment</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6E351B6"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9C2847C" w14:textId="77777777" w:rsidR="008D5495" w:rsidRDefault="008D5495" w:rsidP="008D5495">
            <w:pPr>
              <w:spacing w:line="360" w:lineRule="auto"/>
              <w:jc w:val="right"/>
            </w:pPr>
            <w:r>
              <w:t>-12.9788</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661934A" w14:textId="77777777" w:rsidR="008D5495" w:rsidRDefault="008D5495" w:rsidP="008D5495">
            <w:pPr>
              <w:spacing w:line="360" w:lineRule="auto"/>
              <w:jc w:val="right"/>
            </w:pPr>
            <w:r>
              <w:t>1.3507</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585C5CAA" w14:textId="77777777" w:rsidR="008D5495" w:rsidRDefault="008D5495" w:rsidP="008D5495">
            <w:pPr>
              <w:spacing w:line="360" w:lineRule="auto"/>
              <w:jc w:val="right"/>
            </w:pPr>
            <w:r>
              <w:t>-9.61</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A5BDD57" w14:textId="77777777" w:rsidR="008D5495" w:rsidRDefault="008D5495" w:rsidP="008D5495">
            <w:pPr>
              <w:spacing w:line="360" w:lineRule="auto"/>
              <w:jc w:val="right"/>
            </w:pPr>
            <w:r>
              <w:t>&lt;.0001</w:t>
            </w:r>
          </w:p>
        </w:tc>
      </w:tr>
      <w:tr w:rsidR="008D5495" w14:paraId="26A8B976"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07AB279A" w14:textId="77777777" w:rsidR="008D5495" w:rsidRDefault="008D5495" w:rsidP="008D5495">
            <w:pPr>
              <w:spacing w:line="360" w:lineRule="auto"/>
            </w:pPr>
            <w:r>
              <w:t>persons_per_room</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4C1AE216"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E60471A" w14:textId="77777777" w:rsidR="008D5495" w:rsidRDefault="008D5495" w:rsidP="008D5495">
            <w:pPr>
              <w:spacing w:line="360" w:lineRule="auto"/>
              <w:jc w:val="right"/>
            </w:pPr>
            <w:r>
              <w:t>20.944</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E947382" w14:textId="77777777" w:rsidR="008D5495" w:rsidRDefault="008D5495" w:rsidP="008D5495">
            <w:pPr>
              <w:spacing w:line="360" w:lineRule="auto"/>
              <w:jc w:val="right"/>
            </w:pPr>
            <w:r>
              <w:t>4.0936</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0200B81" w14:textId="77777777" w:rsidR="008D5495" w:rsidRDefault="008D5495" w:rsidP="008D5495">
            <w:pPr>
              <w:spacing w:line="360" w:lineRule="auto"/>
              <w:jc w:val="right"/>
            </w:pPr>
            <w:r>
              <w:t>5.12</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866466E" w14:textId="77777777" w:rsidR="008D5495" w:rsidRDefault="008D5495" w:rsidP="008D5495">
            <w:pPr>
              <w:spacing w:line="360" w:lineRule="auto"/>
              <w:jc w:val="right"/>
            </w:pPr>
            <w:r>
              <w:t>&lt;.0001</w:t>
            </w:r>
          </w:p>
        </w:tc>
      </w:tr>
      <w:tr w:rsidR="008D5495" w14:paraId="65D9E93D"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31DFB2FE" w14:textId="77777777" w:rsidR="008D5495" w:rsidRDefault="008D5495" w:rsidP="008D5495">
            <w:pPr>
              <w:spacing w:line="360" w:lineRule="auto"/>
            </w:pPr>
            <w:r>
              <w:t>population_density</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DE28CEB"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744FAA0" w14:textId="77777777" w:rsidR="008D5495" w:rsidRDefault="008D5495" w:rsidP="008D5495">
            <w:pPr>
              <w:spacing w:line="360" w:lineRule="auto"/>
              <w:jc w:val="right"/>
            </w:pPr>
            <w:r>
              <w:t>-0.00193</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1C4F8B4B" w14:textId="77777777" w:rsidR="008D5495" w:rsidRDefault="008D5495" w:rsidP="008D5495">
            <w:pPr>
              <w:spacing w:line="360" w:lineRule="auto"/>
              <w:jc w:val="right"/>
            </w:pPr>
            <w:r>
              <w:t>0.000576</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329F7472" w14:textId="77777777" w:rsidR="008D5495" w:rsidRDefault="008D5495" w:rsidP="008D5495">
            <w:pPr>
              <w:spacing w:line="360" w:lineRule="auto"/>
              <w:jc w:val="right"/>
            </w:pPr>
            <w:r>
              <w:t>-3.35</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A42F5BC" w14:textId="77777777" w:rsidR="008D5495" w:rsidRDefault="008D5495" w:rsidP="008D5495">
            <w:pPr>
              <w:spacing w:line="360" w:lineRule="auto"/>
              <w:jc w:val="right"/>
            </w:pPr>
            <w:r>
              <w:t>0.0009</w:t>
            </w:r>
          </w:p>
        </w:tc>
      </w:tr>
      <w:tr w:rsidR="008D5495" w14:paraId="3959BAB3"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73D5AEFC" w14:textId="77777777" w:rsidR="008D5495" w:rsidRDefault="008D5495" w:rsidP="008D5495">
            <w:pPr>
              <w:spacing w:line="360" w:lineRule="auto"/>
            </w:pPr>
            <w:r>
              <w:t>revenues_per_capita_PIT</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7A6F3FA"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AEAB689" w14:textId="77777777" w:rsidR="008D5495" w:rsidRDefault="008D5495" w:rsidP="008D5495">
            <w:pPr>
              <w:spacing w:line="360" w:lineRule="auto"/>
              <w:jc w:val="right"/>
            </w:pPr>
            <w:r>
              <w:t>0.00883</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9694AC8" w14:textId="77777777" w:rsidR="008D5495" w:rsidRDefault="008D5495" w:rsidP="008D5495">
            <w:pPr>
              <w:spacing w:line="360" w:lineRule="auto"/>
              <w:jc w:val="right"/>
            </w:pPr>
            <w:r>
              <w:t>0.000746</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766D086" w14:textId="77777777" w:rsidR="008D5495" w:rsidRDefault="008D5495" w:rsidP="008D5495">
            <w:pPr>
              <w:spacing w:line="360" w:lineRule="auto"/>
              <w:jc w:val="right"/>
            </w:pPr>
            <w:r>
              <w:t>11.84</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0E5A4D72" w14:textId="77777777" w:rsidR="008D5495" w:rsidRDefault="008D5495" w:rsidP="008D5495">
            <w:pPr>
              <w:spacing w:line="360" w:lineRule="auto"/>
              <w:jc w:val="right"/>
            </w:pPr>
            <w:r>
              <w:t>&lt;.0001</w:t>
            </w:r>
          </w:p>
        </w:tc>
      </w:tr>
      <w:tr w:rsidR="008D5495" w14:paraId="1141987F" w14:textId="77777777" w:rsidTr="008D5495">
        <w:trPr>
          <w:trHeight w:val="415"/>
        </w:trPr>
        <w:tc>
          <w:tcPr>
            <w:tcW w:w="332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bottom"/>
          </w:tcPr>
          <w:p w14:paraId="425C25EA" w14:textId="77777777" w:rsidR="008D5495" w:rsidRDefault="008D5495" w:rsidP="008D5495">
            <w:pPr>
              <w:spacing w:line="360" w:lineRule="auto"/>
            </w:pPr>
            <w:r>
              <w:t>unemployment_rate_m</w:t>
            </w:r>
          </w:p>
        </w:tc>
        <w:tc>
          <w:tcPr>
            <w:tcW w:w="454"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4276762" w14:textId="77777777" w:rsidR="008D5495" w:rsidRDefault="008D5495" w:rsidP="008D5495">
            <w:pPr>
              <w:spacing w:line="360" w:lineRule="auto"/>
              <w:jc w:val="right"/>
            </w:pPr>
            <w:r>
              <w:t>1</w:t>
            </w:r>
          </w:p>
        </w:tc>
        <w:tc>
          <w:tcPr>
            <w:tcW w:w="108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56B61196" w14:textId="77777777" w:rsidR="008D5495" w:rsidRDefault="008D5495" w:rsidP="008D5495">
            <w:pPr>
              <w:spacing w:line="360" w:lineRule="auto"/>
              <w:jc w:val="right"/>
            </w:pPr>
            <w:r>
              <w:t>-0.3994</w:t>
            </w:r>
          </w:p>
        </w:tc>
        <w:tc>
          <w:tcPr>
            <w:tcW w:w="1256"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21CD926B" w14:textId="77777777" w:rsidR="008D5495" w:rsidRDefault="008D5495" w:rsidP="008D5495">
            <w:pPr>
              <w:spacing w:line="360" w:lineRule="auto"/>
              <w:jc w:val="right"/>
            </w:pPr>
            <w:r>
              <w:t>0.0744</w:t>
            </w:r>
          </w:p>
        </w:tc>
        <w:tc>
          <w:tcPr>
            <w:tcW w:w="99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6676CE10" w14:textId="77777777" w:rsidR="008D5495" w:rsidRDefault="008D5495" w:rsidP="008D5495">
            <w:pPr>
              <w:spacing w:line="360" w:lineRule="auto"/>
              <w:jc w:val="right"/>
            </w:pPr>
            <w:r>
              <w:t>-5.37</w:t>
            </w:r>
          </w:p>
        </w:tc>
        <w:tc>
          <w:tcPr>
            <w:tcW w:w="1440" w:type="dxa"/>
            <w:tcBorders>
              <w:top w:val="single" w:sz="3" w:space="0" w:color="000000"/>
              <w:left w:val="single" w:sz="3" w:space="0" w:color="000000"/>
              <w:bottom w:val="single" w:sz="3" w:space="0" w:color="000000"/>
              <w:right w:val="single" w:sz="3" w:space="0" w:color="000000"/>
            </w:tcBorders>
            <w:tcMar>
              <w:top w:w="20" w:type="dxa"/>
              <w:left w:w="20" w:type="dxa"/>
              <w:right w:w="20" w:type="dxa"/>
            </w:tcMar>
            <w:vAlign w:val="center"/>
          </w:tcPr>
          <w:p w14:paraId="76CC28AE" w14:textId="77777777" w:rsidR="008D5495" w:rsidRDefault="008D5495" w:rsidP="008D5495">
            <w:pPr>
              <w:spacing w:line="360" w:lineRule="auto"/>
              <w:jc w:val="right"/>
            </w:pPr>
            <w:r>
              <w:t>&lt;.0001</w:t>
            </w:r>
          </w:p>
        </w:tc>
      </w:tr>
    </w:tbl>
    <w:p w14:paraId="7D3C3661" w14:textId="77777777" w:rsidR="008D5495" w:rsidRDefault="008D5495" w:rsidP="001376B1">
      <w:pPr>
        <w:spacing w:line="360" w:lineRule="auto"/>
        <w:ind w:left="720"/>
      </w:pPr>
    </w:p>
    <w:p w14:paraId="749EFA41" w14:textId="6C5B5EEA" w:rsidR="007D5AF3" w:rsidRDefault="001376B1" w:rsidP="008D5495">
      <w:pPr>
        <w:spacing w:line="360" w:lineRule="auto"/>
        <w:ind w:left="720"/>
        <w:jc w:val="both"/>
      </w:pPr>
      <w:r>
        <w:t xml:space="preserve">The </w:t>
      </w:r>
      <w:r w:rsidR="00000000">
        <w:t xml:space="preserve">findings of the maximum likelihood analysis show that numerous critical characteristics, each linked with an estimate, contribute to the inclination to vaccinate against COVID-19, emphasizing neighborhood impacts and the infectious nature of </w:t>
      </w:r>
      <w:r w:rsidR="00000000">
        <w:lastRenderedPageBreak/>
        <w:t>vaccination attitudes. Particularly, increased apartment density, as measured by "</w:t>
      </w:r>
      <w:r w:rsidR="00000000">
        <w:rPr>
          <w:i/>
        </w:rPr>
        <w:t>Appartments_per_1000_persons,</w:t>
      </w:r>
      <w:r w:rsidR="00000000">
        <w:t>" is associated with lower vaccination rates (-0.0352 estimate), possibly due to social dynamics or access limits in highly populated locations. In contrast, locations with a higher number of registered organizations per 10,000 people (</w:t>
      </w:r>
      <w:r w:rsidR="00000000">
        <w:rPr>
          <w:i/>
        </w:rPr>
        <w:t>entities_registered_per_10k_pers</w:t>
      </w:r>
      <w:r w:rsidR="00000000">
        <w:t>) are more likely to vaccinate (0.00238 estimate), demonstrating that a strong community infrastructure has a beneficial impact on vaccination behavior.</w:t>
      </w:r>
    </w:p>
    <w:p w14:paraId="11F37F42" w14:textId="77777777" w:rsidR="007D5AF3" w:rsidRDefault="007D5AF3" w:rsidP="008D5495">
      <w:pPr>
        <w:spacing w:line="360" w:lineRule="auto"/>
        <w:ind w:left="720"/>
        <w:jc w:val="both"/>
      </w:pPr>
    </w:p>
    <w:p w14:paraId="4565D354" w14:textId="77777777" w:rsidR="007D5AF3" w:rsidRDefault="00000000" w:rsidP="008D5495">
      <w:pPr>
        <w:spacing w:line="360" w:lineRule="auto"/>
        <w:ind w:left="720"/>
        <w:jc w:val="both"/>
      </w:pPr>
      <w:r>
        <w:t xml:space="preserve">Furthermore, overcrowding in living situations, as measured by </w:t>
      </w:r>
      <w:r>
        <w:rPr>
          <w:i/>
        </w:rPr>
        <w:t>"Persons_per_appartment</w:t>
      </w:r>
      <w:r>
        <w:t xml:space="preserve">" and </w:t>
      </w:r>
      <w:r>
        <w:rPr>
          <w:i/>
        </w:rPr>
        <w:t>"Persons_per_room</w:t>
      </w:r>
      <w:r>
        <w:t>," tends to influence vaccination tendency. This shows that limited access to healthcare services and information in densely populated regions may lead to lower vaccination rates. Furthermore, increased population density (</w:t>
      </w:r>
      <w:r>
        <w:rPr>
          <w:i/>
        </w:rPr>
        <w:t>population_density</w:t>
      </w:r>
      <w:r>
        <w:t>) is related to a lower vaccination propensity (-0.00193 estimate), highlighting the difficulties in organizing effective vaccination programs or addressing the particular social dynamics seen in highly populated districts.</w:t>
      </w:r>
    </w:p>
    <w:p w14:paraId="6E691AE0" w14:textId="77777777" w:rsidR="007D5AF3" w:rsidRDefault="007D5AF3" w:rsidP="008D5495">
      <w:pPr>
        <w:spacing w:line="360" w:lineRule="auto"/>
        <w:ind w:left="720"/>
        <w:jc w:val="both"/>
      </w:pPr>
    </w:p>
    <w:p w14:paraId="5138E9A7" w14:textId="77777777" w:rsidR="007D5AF3" w:rsidRDefault="00000000" w:rsidP="008D5495">
      <w:pPr>
        <w:spacing w:line="360" w:lineRule="auto"/>
        <w:ind w:left="720"/>
        <w:jc w:val="both"/>
      </w:pPr>
      <w:r>
        <w:t>Finally, socioeconomic factors such as</w:t>
      </w:r>
      <w:r>
        <w:rPr>
          <w:i/>
        </w:rPr>
        <w:t xml:space="preserve"> "Revenues_per_capita_PIT</w:t>
      </w:r>
      <w:r>
        <w:t>" and "</w:t>
      </w:r>
      <w:r>
        <w:rPr>
          <w:i/>
        </w:rPr>
        <w:t>Unemployment_rate_m</w:t>
      </w:r>
      <w:r>
        <w:t>" play important roles. Higher per capita revenues (0.00883) and lower unemployment male rates (-0.3994) are connected with a higher willingness to vaccinate. This demonstrates the impact of economic stability on vaccination behavior, with better income and employment stability potentially leading to increased access to healthcare services and faith in vaccinations.</w:t>
      </w:r>
    </w:p>
    <w:p w14:paraId="0F688343" w14:textId="77777777" w:rsidR="007D5AF3" w:rsidRDefault="007D5AF3" w:rsidP="008D5495">
      <w:pPr>
        <w:spacing w:line="360" w:lineRule="auto"/>
        <w:ind w:left="720"/>
        <w:jc w:val="both"/>
      </w:pPr>
    </w:p>
    <w:p w14:paraId="378061C7" w14:textId="77777777" w:rsidR="007D5AF3" w:rsidRDefault="00000000" w:rsidP="008D5495">
      <w:pPr>
        <w:spacing w:line="360" w:lineRule="auto"/>
        <w:ind w:left="720"/>
        <w:jc w:val="both"/>
      </w:pPr>
      <w:r>
        <w:t xml:space="preserve">In conclusion, our findings support </w:t>
      </w:r>
      <w:r>
        <w:rPr>
          <w:b/>
        </w:rPr>
        <w:t>Hypothesis 4</w:t>
      </w:r>
      <w:r>
        <w:t>, which suggests a neighborhood impact in which COVID-19 vaccination willingness spreads among local communities. Being nearby improves the chance of influencing one another's immunization attitudes and actions via social contagion mechanisms. This emphasizes the significance of community-specific initiatives in increasing vaccination rates and combating the pandemic successfully.</w:t>
      </w:r>
    </w:p>
    <w:p w14:paraId="1CC75EC3" w14:textId="77777777" w:rsidR="007D5AF3" w:rsidRDefault="00000000" w:rsidP="00520117">
      <w:pPr>
        <w:pStyle w:val="Heading2"/>
        <w:numPr>
          <w:ilvl w:val="0"/>
          <w:numId w:val="5"/>
        </w:numPr>
        <w:ind w:left="720" w:hanging="720"/>
        <w:rPr>
          <w:bCs/>
        </w:rPr>
      </w:pPr>
      <w:bookmarkStart w:id="18" w:name="_Toc166417726"/>
      <w:r w:rsidRPr="00520117">
        <w:rPr>
          <w:bCs/>
        </w:rPr>
        <w:lastRenderedPageBreak/>
        <w:t>Conclusions</w:t>
      </w:r>
      <w:bookmarkEnd w:id="18"/>
    </w:p>
    <w:p w14:paraId="684AAA23" w14:textId="77777777" w:rsidR="00F636EB" w:rsidRDefault="00F636EB" w:rsidP="00F636EB">
      <w:pPr>
        <w:ind w:left="720"/>
        <w:jc w:val="both"/>
      </w:pPr>
      <w:r>
        <w:t>In conclusion, our findings give insight about why people in Poland choose to get vaccinated against COVID-19. We discovered that vaccination rates are influenced by factors such as where people reside (urban or rural), regional disparities, and their age.</w:t>
      </w:r>
    </w:p>
    <w:p w14:paraId="136DE619" w14:textId="77777777" w:rsidR="00F636EB" w:rsidRDefault="00F636EB" w:rsidP="00F636EB">
      <w:pPr>
        <w:ind w:left="720"/>
        <w:jc w:val="both"/>
      </w:pPr>
    </w:p>
    <w:p w14:paraId="7A20F757" w14:textId="77777777" w:rsidR="00F636EB" w:rsidRDefault="00F636EB" w:rsidP="00F636EB">
      <w:pPr>
        <w:ind w:left="720"/>
        <w:jc w:val="both"/>
      </w:pPr>
      <w:r>
        <w:t>While large cities have greater vaccination rates, we observed that other factors, such as affluence, accessibility to healthcare, and community closeness, also have a role. Surprisingly, we found no significant variations in immunization rates between Eastern and Western Poland. However, when we looked at smaller sections of the country, we saw differences.</w:t>
      </w:r>
    </w:p>
    <w:p w14:paraId="5DBDAF87" w14:textId="77777777" w:rsidR="00F636EB" w:rsidRDefault="00F636EB" w:rsidP="00F636EB">
      <w:pPr>
        <w:ind w:left="720"/>
        <w:jc w:val="both"/>
      </w:pPr>
    </w:p>
    <w:p w14:paraId="5FDC5159" w14:textId="5103AFAC" w:rsidR="0038580A" w:rsidRPr="0038580A" w:rsidRDefault="00F636EB" w:rsidP="00F636EB">
      <w:pPr>
        <w:ind w:left="720"/>
        <w:jc w:val="both"/>
      </w:pPr>
      <w:r>
        <w:t>We also investigated how age influences immunization. While certain age groups receive more vaccinations than others, we discovered that it is not simply age that influences vaccination rates; other factors also play a role. Finally, we discovered that people's vaccination decisions can be impacted by their social circles and communities. This implies that if your friends and neighbors are vaccinated, you may be more inclined to do so as well.</w:t>
      </w:r>
    </w:p>
    <w:p w14:paraId="278B2F2A" w14:textId="77777777" w:rsidR="007D5AF3" w:rsidRDefault="007D5AF3"/>
    <w:p w14:paraId="219D2D4F" w14:textId="77777777" w:rsidR="007D5AF3" w:rsidRDefault="007D5AF3"/>
    <w:p w14:paraId="3E05A233" w14:textId="77777777" w:rsidR="00F636EB" w:rsidRDefault="00F636EB">
      <w:pPr>
        <w:rPr>
          <w:rFonts w:eastAsiaTheme="majorEastAsia" w:cstheme="majorBidi"/>
          <w:sz w:val="32"/>
          <w:szCs w:val="32"/>
        </w:rPr>
      </w:pPr>
      <w:r>
        <w:rPr>
          <w:b/>
        </w:rPr>
        <w:br w:type="page"/>
      </w:r>
    </w:p>
    <w:p w14:paraId="31939D9F" w14:textId="56C0D058" w:rsidR="007D5AF3" w:rsidRPr="008D5495" w:rsidRDefault="00000000" w:rsidP="00134D79">
      <w:pPr>
        <w:pStyle w:val="Heading1"/>
        <w:rPr>
          <w:b w:val="0"/>
        </w:rPr>
      </w:pPr>
      <w:bookmarkStart w:id="19" w:name="_Toc166417727"/>
      <w:r w:rsidRPr="008D5495">
        <w:rPr>
          <w:b w:val="0"/>
        </w:rPr>
        <w:lastRenderedPageBreak/>
        <w:t>Reference</w:t>
      </w:r>
      <w:bookmarkEnd w:id="19"/>
    </w:p>
    <w:p w14:paraId="0712BC73" w14:textId="77777777" w:rsidR="007D5AF3" w:rsidRDefault="007D5AF3" w:rsidP="001376B1">
      <w:pPr>
        <w:jc w:val="both"/>
      </w:pPr>
    </w:p>
    <w:p w14:paraId="74D447EA" w14:textId="77777777" w:rsidR="007D5AF3" w:rsidRDefault="00000000" w:rsidP="001376B1">
      <w:pPr>
        <w:jc w:val="both"/>
        <w:rPr>
          <w:color w:val="222222"/>
          <w:highlight w:val="white"/>
        </w:rPr>
      </w:pPr>
      <w:r>
        <w:rPr>
          <w:color w:val="222222"/>
          <w:highlight w:val="white"/>
        </w:rPr>
        <w:t xml:space="preserve">Vilches, T. N., Sah, P., Moghadas, S. M., Shoukat, A., Fitzpatrick, M. C., Hotez, P. J., ... &amp; Galvani, A. P. (2022). COVID-19 hospitalizations and deaths averted under an accelerated vaccination program in northeastern and southern regions of the USA. </w:t>
      </w:r>
      <w:r>
        <w:rPr>
          <w:i/>
          <w:color w:val="222222"/>
          <w:highlight w:val="white"/>
        </w:rPr>
        <w:t>The Lancet Regional Health–Americas</w:t>
      </w:r>
      <w:r>
        <w:rPr>
          <w:color w:val="222222"/>
          <w:highlight w:val="white"/>
        </w:rPr>
        <w:t xml:space="preserve">, </w:t>
      </w:r>
      <w:r>
        <w:rPr>
          <w:i/>
          <w:color w:val="222222"/>
          <w:highlight w:val="white"/>
        </w:rPr>
        <w:t>6</w:t>
      </w:r>
      <w:r>
        <w:rPr>
          <w:color w:val="222222"/>
          <w:highlight w:val="white"/>
        </w:rPr>
        <w:t>.</w:t>
      </w:r>
    </w:p>
    <w:p w14:paraId="0ED7C86F" w14:textId="77777777" w:rsidR="007D5AF3" w:rsidRDefault="00000000" w:rsidP="001376B1">
      <w:pPr>
        <w:jc w:val="both"/>
        <w:rPr>
          <w:color w:val="222222"/>
          <w:highlight w:val="white"/>
        </w:rPr>
      </w:pPr>
      <w:hyperlink r:id="rId17">
        <w:r>
          <w:rPr>
            <w:color w:val="1155CC"/>
            <w:highlight w:val="white"/>
            <w:u w:val="single"/>
          </w:rPr>
          <w:t>https://doi.org/10.1016/j.lana.2021.100147</w:t>
        </w:r>
      </w:hyperlink>
    </w:p>
    <w:p w14:paraId="0730F783" w14:textId="77777777" w:rsidR="007D5AF3" w:rsidRDefault="00000000" w:rsidP="001376B1">
      <w:pPr>
        <w:jc w:val="both"/>
        <w:rPr>
          <w:color w:val="0D0D0D"/>
          <w:highlight w:val="white"/>
        </w:rPr>
      </w:pPr>
      <w:r w:rsidRPr="00034062">
        <w:rPr>
          <w:color w:val="0D0D0D"/>
          <w:highlight w:val="white"/>
          <w:lang w:val="pl-PL"/>
        </w:rPr>
        <w:t xml:space="preserve">Karashiali, C., Konstantinou, P., Christodoulou, A., Kyprianidou, M., Nicolaou, C., Karekla, M., … </w:t>
      </w:r>
      <w:r>
        <w:rPr>
          <w:color w:val="0D0D0D"/>
          <w:highlight w:val="white"/>
        </w:rPr>
        <w:t xml:space="preserve">Kassianos, A. P. (2023). A qualitative study exploring the social contagion of attitudes and uptake of COVID-19 vaccinations. Human Vaccines &amp; Immunotherapeutics, 19(2). </w:t>
      </w:r>
      <w:hyperlink r:id="rId18">
        <w:r>
          <w:rPr>
            <w:color w:val="1155CC"/>
            <w:highlight w:val="white"/>
            <w:u w:val="single"/>
          </w:rPr>
          <w:t>https://doi.org/10.1080/21645515.2023.2260038</w:t>
        </w:r>
      </w:hyperlink>
    </w:p>
    <w:p w14:paraId="7C93FE01" w14:textId="77777777" w:rsidR="007D5AF3" w:rsidRDefault="00000000" w:rsidP="001376B1">
      <w:pPr>
        <w:jc w:val="both"/>
        <w:rPr>
          <w:color w:val="212121"/>
          <w:highlight w:val="white"/>
        </w:rPr>
      </w:pPr>
      <w:r>
        <w:rPr>
          <w:color w:val="212121"/>
          <w:highlight w:val="white"/>
        </w:rPr>
        <w:t xml:space="preserve">Wang, Q., Yang, L., Jin, H., &amp; Lin, L. (2021). Vaccination against COVID-19: A systematic review and meta-analysis of acceptability and its predictors. </w:t>
      </w:r>
      <w:r>
        <w:rPr>
          <w:i/>
          <w:color w:val="212121"/>
          <w:highlight w:val="white"/>
        </w:rPr>
        <w:t>Preventive medicine</w:t>
      </w:r>
      <w:r>
        <w:rPr>
          <w:color w:val="212121"/>
          <w:highlight w:val="white"/>
        </w:rPr>
        <w:t xml:space="preserve">, </w:t>
      </w:r>
      <w:r>
        <w:rPr>
          <w:i/>
          <w:color w:val="212121"/>
          <w:highlight w:val="white"/>
        </w:rPr>
        <w:t>150</w:t>
      </w:r>
      <w:r>
        <w:rPr>
          <w:color w:val="212121"/>
          <w:highlight w:val="white"/>
        </w:rPr>
        <w:t xml:space="preserve">, 106694. </w:t>
      </w:r>
      <w:hyperlink r:id="rId19">
        <w:r>
          <w:rPr>
            <w:color w:val="1155CC"/>
            <w:highlight w:val="white"/>
            <w:u w:val="single"/>
          </w:rPr>
          <w:t>https://doi.org/10.1016/j.ypmed.2021.106694</w:t>
        </w:r>
      </w:hyperlink>
    </w:p>
    <w:p w14:paraId="775707A5" w14:textId="77777777" w:rsidR="007D5AF3" w:rsidRDefault="007D5AF3" w:rsidP="001376B1">
      <w:pPr>
        <w:jc w:val="both"/>
        <w:rPr>
          <w:color w:val="0D0D0D"/>
          <w:highlight w:val="white"/>
        </w:rPr>
      </w:pPr>
    </w:p>
    <w:p w14:paraId="60CD32EF" w14:textId="77777777" w:rsidR="007D5AF3" w:rsidRDefault="00000000" w:rsidP="001376B1">
      <w:pPr>
        <w:jc w:val="both"/>
        <w:rPr>
          <w:color w:val="0D0D0D"/>
          <w:highlight w:val="white"/>
        </w:rPr>
      </w:pPr>
      <w:r>
        <w:rPr>
          <w:color w:val="0D0D0D"/>
          <w:highlight w:val="white"/>
        </w:rPr>
        <w:t xml:space="preserve">Lazarus, J. V., Wyka, K., Rauh, L., Rabin, K., Ratzan, S., Gostin, L. O., … El-Mohandes, A. (2020). Hesitant or Not? The Association of Age, Gender, and Education with Potential Acceptance of a COVID-19 Vaccine: A Country-level Analysis. Journal of Health Communication, 25(10), 799–807. </w:t>
      </w:r>
      <w:hyperlink r:id="rId20">
        <w:r>
          <w:rPr>
            <w:color w:val="1155CC"/>
            <w:highlight w:val="white"/>
            <w:u w:val="single"/>
          </w:rPr>
          <w:t>https://doi.org/10.1080/10810730.2020.1868630</w:t>
        </w:r>
      </w:hyperlink>
    </w:p>
    <w:p w14:paraId="3B27ED8A" w14:textId="77777777" w:rsidR="007D5AF3" w:rsidRDefault="007D5AF3" w:rsidP="001376B1">
      <w:pPr>
        <w:jc w:val="both"/>
        <w:rPr>
          <w:color w:val="0D0D0D"/>
          <w:highlight w:val="white"/>
        </w:rPr>
      </w:pPr>
    </w:p>
    <w:p w14:paraId="05D0A47F" w14:textId="77777777" w:rsidR="007D5AF3" w:rsidRDefault="00000000" w:rsidP="001376B1">
      <w:pPr>
        <w:jc w:val="both"/>
        <w:rPr>
          <w:color w:val="0D0D0D"/>
          <w:highlight w:val="white"/>
        </w:rPr>
      </w:pPr>
      <w:r>
        <w:rPr>
          <w:color w:val="222222"/>
          <w:sz w:val="20"/>
          <w:szCs w:val="20"/>
          <w:highlight w:val="white"/>
        </w:rPr>
        <w:t xml:space="preserve">Vilches, T. N., Sah, P., Moghadas, S. M., Shoukat, A., Fitzpatrick, M. C., Hotez, P. J., ... &amp; Galvani, A. P. (2022). COVID-19 hospitalizations and deaths averted under an accelerated vaccination program in northeastern and southern regions of the USA. </w:t>
      </w:r>
      <w:r>
        <w:rPr>
          <w:i/>
          <w:color w:val="222222"/>
          <w:sz w:val="20"/>
          <w:szCs w:val="20"/>
          <w:highlight w:val="white"/>
        </w:rPr>
        <w:t>The Lancet Regional Health–Americas</w:t>
      </w:r>
      <w:r>
        <w:rPr>
          <w:color w:val="222222"/>
          <w:sz w:val="20"/>
          <w:szCs w:val="20"/>
          <w:highlight w:val="white"/>
        </w:rPr>
        <w:t xml:space="preserve">, </w:t>
      </w:r>
      <w:r>
        <w:rPr>
          <w:i/>
          <w:color w:val="222222"/>
          <w:sz w:val="20"/>
          <w:szCs w:val="20"/>
          <w:highlight w:val="white"/>
        </w:rPr>
        <w:t>6</w:t>
      </w:r>
      <w:r>
        <w:rPr>
          <w:color w:val="222222"/>
          <w:sz w:val="20"/>
          <w:szCs w:val="20"/>
          <w:highlight w:val="white"/>
        </w:rPr>
        <w:t>.</w:t>
      </w:r>
    </w:p>
    <w:p w14:paraId="30435C0D" w14:textId="77777777" w:rsidR="007D5AF3" w:rsidRDefault="00000000" w:rsidP="001376B1">
      <w:pPr>
        <w:jc w:val="both"/>
        <w:rPr>
          <w:color w:val="0D0D0D"/>
          <w:highlight w:val="white"/>
        </w:rPr>
      </w:pPr>
      <w:hyperlink r:id="rId21">
        <w:r>
          <w:rPr>
            <w:color w:val="1155CC"/>
            <w:highlight w:val="white"/>
            <w:u w:val="single"/>
          </w:rPr>
          <w:t>https://doi.org/10.1016/j.lana.2021.100147</w:t>
        </w:r>
      </w:hyperlink>
    </w:p>
    <w:p w14:paraId="232F363E" w14:textId="77777777" w:rsidR="007D5AF3" w:rsidRDefault="007D5AF3" w:rsidP="001376B1">
      <w:pPr>
        <w:jc w:val="both"/>
        <w:rPr>
          <w:color w:val="0D0D0D"/>
          <w:highlight w:val="white"/>
        </w:rPr>
      </w:pPr>
    </w:p>
    <w:p w14:paraId="6540A1FE" w14:textId="77777777" w:rsidR="007D5AF3" w:rsidRDefault="00000000" w:rsidP="001376B1">
      <w:pPr>
        <w:jc w:val="both"/>
        <w:rPr>
          <w:color w:val="0D0D0D"/>
          <w:highlight w:val="white"/>
        </w:rPr>
      </w:pPr>
      <w:r>
        <w:rPr>
          <w:color w:val="0D0D0D"/>
          <w:highlight w:val="white"/>
        </w:rPr>
        <w:t xml:space="preserve">Ma, Y.S., and Monnat, Sh.M. (2022). Rural-urban and within-rural differences in COVID-19 vaccination rates. The Journal of Rural Health, 38(4). </w:t>
      </w:r>
      <w:hyperlink r:id="rId22">
        <w:r>
          <w:rPr>
            <w:color w:val="1155CC"/>
            <w:highlight w:val="white"/>
            <w:u w:val="single"/>
          </w:rPr>
          <w:t>https://doi.org/10.1111/jrh.12625</w:t>
        </w:r>
      </w:hyperlink>
    </w:p>
    <w:p w14:paraId="7B937353" w14:textId="77777777" w:rsidR="007D5AF3" w:rsidRDefault="007D5AF3" w:rsidP="001376B1">
      <w:pPr>
        <w:jc w:val="both"/>
        <w:rPr>
          <w:color w:val="0D0D0D"/>
          <w:highlight w:val="white"/>
        </w:rPr>
      </w:pPr>
    </w:p>
    <w:p w14:paraId="62BC2020" w14:textId="77777777" w:rsidR="007D5AF3" w:rsidRDefault="00000000" w:rsidP="001376B1">
      <w:pPr>
        <w:jc w:val="both"/>
        <w:rPr>
          <w:color w:val="333333"/>
          <w:sz w:val="22"/>
          <w:szCs w:val="22"/>
          <w:highlight w:val="white"/>
        </w:rPr>
      </w:pPr>
      <w:r>
        <w:rPr>
          <w:color w:val="222222"/>
          <w:sz w:val="20"/>
          <w:szCs w:val="20"/>
          <w:highlight w:val="white"/>
        </w:rPr>
        <w:t xml:space="preserve">Shkolnikov, V. M., Timonin, S., Jdanov, D., Medina-Jaudes, N., Islam, N., &amp; Leon, D. A. (2023). East-West mortality disparities during the COVID-19 pandemic widen the historical longevity divide in Europe: an international comparative study. </w:t>
      </w:r>
      <w:r>
        <w:rPr>
          <w:i/>
          <w:color w:val="222222"/>
          <w:sz w:val="20"/>
          <w:szCs w:val="20"/>
          <w:highlight w:val="white"/>
        </w:rPr>
        <w:t>medRxiv</w:t>
      </w:r>
      <w:r>
        <w:rPr>
          <w:color w:val="222222"/>
          <w:sz w:val="20"/>
          <w:szCs w:val="20"/>
          <w:highlight w:val="white"/>
        </w:rPr>
        <w:t xml:space="preserve">, 2023-11. </w:t>
      </w:r>
      <w:hyperlink r:id="rId23">
        <w:r>
          <w:rPr>
            <w:color w:val="1155CC"/>
            <w:sz w:val="22"/>
            <w:szCs w:val="22"/>
            <w:highlight w:val="white"/>
            <w:u w:val="single"/>
          </w:rPr>
          <w:t>https://doi.org/10.1101/2023.11.08.23298275</w:t>
        </w:r>
      </w:hyperlink>
    </w:p>
    <w:p w14:paraId="662957E5" w14:textId="77777777" w:rsidR="007D5AF3" w:rsidRDefault="007D5AF3">
      <w:pPr>
        <w:rPr>
          <w:color w:val="333333"/>
          <w:sz w:val="22"/>
          <w:szCs w:val="22"/>
          <w:highlight w:val="white"/>
        </w:rPr>
      </w:pPr>
    </w:p>
    <w:sectPr w:rsidR="007D5AF3" w:rsidSect="0038580A">
      <w:footerReference w:type="default" r:id="rId24"/>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E9189" w14:textId="77777777" w:rsidR="009F74B7" w:rsidRDefault="009F74B7" w:rsidP="0038580A">
      <w:r>
        <w:separator/>
      </w:r>
    </w:p>
  </w:endnote>
  <w:endnote w:type="continuationSeparator" w:id="0">
    <w:p w14:paraId="7C6E9E53" w14:textId="77777777" w:rsidR="009F74B7" w:rsidRDefault="009F74B7" w:rsidP="00385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5384501"/>
      <w:docPartObj>
        <w:docPartGallery w:val="Page Numbers (Bottom of Page)"/>
        <w:docPartUnique/>
      </w:docPartObj>
    </w:sdtPr>
    <w:sdtEndPr>
      <w:rPr>
        <w:noProof/>
      </w:rPr>
    </w:sdtEndPr>
    <w:sdtContent>
      <w:p w14:paraId="28299E1A" w14:textId="6ABEB9E6" w:rsidR="0038580A" w:rsidRDefault="003858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809EA" w14:textId="77777777" w:rsidR="0038580A" w:rsidRDefault="00385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619D6" w14:textId="77777777" w:rsidR="009F74B7" w:rsidRDefault="009F74B7" w:rsidP="0038580A">
      <w:r>
        <w:separator/>
      </w:r>
    </w:p>
  </w:footnote>
  <w:footnote w:type="continuationSeparator" w:id="0">
    <w:p w14:paraId="2D3CB5F4" w14:textId="77777777" w:rsidR="009F74B7" w:rsidRDefault="009F74B7" w:rsidP="00385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4873"/>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324F0A"/>
    <w:multiLevelType w:val="hybridMultilevel"/>
    <w:tmpl w:val="FC88A2BE"/>
    <w:lvl w:ilvl="0" w:tplc="34028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50F96"/>
    <w:multiLevelType w:val="multilevel"/>
    <w:tmpl w:val="F600F12C"/>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3E0112"/>
    <w:multiLevelType w:val="hybridMultilevel"/>
    <w:tmpl w:val="87B6B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B92076"/>
    <w:multiLevelType w:val="multilevel"/>
    <w:tmpl w:val="1136C2A0"/>
    <w:lvl w:ilvl="0">
      <w:start w:val="1"/>
      <w:numFmt w:val="decimal"/>
      <w:lvlText w:val="%1."/>
      <w:lvlJc w:val="left"/>
      <w:pPr>
        <w:ind w:left="1800" w:hanging="360"/>
      </w:pPr>
      <w:rPr>
        <w:color w:val="000000"/>
      </w:rPr>
    </w:lvl>
    <w:lvl w:ilvl="1">
      <w:start w:val="1"/>
      <w:numFmt w:val="decimal"/>
      <w:lvlText w:val="%1.%2"/>
      <w:lvlJc w:val="left"/>
      <w:pPr>
        <w:ind w:left="2160" w:hanging="360"/>
      </w:pPr>
      <w:rPr>
        <w:color w:val="000000"/>
      </w:rPr>
    </w:lvl>
    <w:lvl w:ilvl="2">
      <w:start w:val="1"/>
      <w:numFmt w:val="decimal"/>
      <w:lvlText w:val="%1.%2.%3"/>
      <w:lvlJc w:val="left"/>
      <w:pPr>
        <w:ind w:left="2880" w:hanging="720"/>
      </w:pPr>
      <w:rPr>
        <w:color w:val="000000"/>
      </w:rPr>
    </w:lvl>
    <w:lvl w:ilvl="3">
      <w:start w:val="1"/>
      <w:numFmt w:val="decimal"/>
      <w:lvlText w:val="%1.%2.%3.%4"/>
      <w:lvlJc w:val="left"/>
      <w:pPr>
        <w:ind w:left="3240" w:hanging="720"/>
      </w:pPr>
      <w:rPr>
        <w:color w:val="000000"/>
      </w:rPr>
    </w:lvl>
    <w:lvl w:ilvl="4">
      <w:start w:val="1"/>
      <w:numFmt w:val="decimal"/>
      <w:lvlText w:val="%1.%2.%3.%4.%5"/>
      <w:lvlJc w:val="left"/>
      <w:pPr>
        <w:ind w:left="3960" w:hanging="1080"/>
      </w:pPr>
      <w:rPr>
        <w:color w:val="000000"/>
      </w:rPr>
    </w:lvl>
    <w:lvl w:ilvl="5">
      <w:start w:val="1"/>
      <w:numFmt w:val="decimal"/>
      <w:lvlText w:val="%1.%2.%3.%4.%5.%6"/>
      <w:lvlJc w:val="left"/>
      <w:pPr>
        <w:ind w:left="4320" w:hanging="1080"/>
      </w:pPr>
      <w:rPr>
        <w:color w:val="000000"/>
      </w:rPr>
    </w:lvl>
    <w:lvl w:ilvl="6">
      <w:start w:val="1"/>
      <w:numFmt w:val="decimal"/>
      <w:lvlText w:val="%1.%2.%3.%4.%5.%6.%7"/>
      <w:lvlJc w:val="left"/>
      <w:pPr>
        <w:ind w:left="5040" w:hanging="1440"/>
      </w:pPr>
      <w:rPr>
        <w:color w:val="000000"/>
      </w:rPr>
    </w:lvl>
    <w:lvl w:ilvl="7">
      <w:start w:val="1"/>
      <w:numFmt w:val="decimal"/>
      <w:lvlText w:val="%1.%2.%3.%4.%5.%6.%7.%8"/>
      <w:lvlJc w:val="left"/>
      <w:pPr>
        <w:ind w:left="5400" w:hanging="1440"/>
      </w:pPr>
      <w:rPr>
        <w:color w:val="000000"/>
      </w:rPr>
    </w:lvl>
    <w:lvl w:ilvl="8">
      <w:start w:val="1"/>
      <w:numFmt w:val="decimal"/>
      <w:lvlText w:val="%1.%2.%3.%4.%5.%6.%7.%8.%9"/>
      <w:lvlJc w:val="left"/>
      <w:pPr>
        <w:ind w:left="6120" w:hanging="1800"/>
      </w:pPr>
      <w:rPr>
        <w:color w:val="000000"/>
      </w:rPr>
    </w:lvl>
  </w:abstractNum>
  <w:num w:numId="1" w16cid:durableId="1794060747">
    <w:abstractNumId w:val="4"/>
  </w:num>
  <w:num w:numId="2" w16cid:durableId="91899305">
    <w:abstractNumId w:val="3"/>
  </w:num>
  <w:num w:numId="3" w16cid:durableId="225995166">
    <w:abstractNumId w:val="1"/>
  </w:num>
  <w:num w:numId="4" w16cid:durableId="1670794358">
    <w:abstractNumId w:val="0"/>
  </w:num>
  <w:num w:numId="5" w16cid:durableId="141500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F3"/>
    <w:rsid w:val="00034062"/>
    <w:rsid w:val="000E02F5"/>
    <w:rsid w:val="00134D79"/>
    <w:rsid w:val="001376B1"/>
    <w:rsid w:val="0038580A"/>
    <w:rsid w:val="004F1A27"/>
    <w:rsid w:val="00520117"/>
    <w:rsid w:val="007D5AF3"/>
    <w:rsid w:val="008D5495"/>
    <w:rsid w:val="009F74B7"/>
    <w:rsid w:val="00C00B42"/>
    <w:rsid w:val="00EC656E"/>
    <w:rsid w:val="00F636EB"/>
    <w:rsid w:val="00FE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D493"/>
  <w15:docId w15:val="{1AE600A7-CB1E-49C9-9BBF-120E240C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33"/>
    <w:rPr>
      <w:lang w:eastAsia="en-GB"/>
    </w:rPr>
  </w:style>
  <w:style w:type="paragraph" w:styleId="Heading1">
    <w:name w:val="heading 1"/>
    <w:basedOn w:val="Normal"/>
    <w:next w:val="Normal"/>
    <w:link w:val="Heading1Char"/>
    <w:uiPriority w:val="9"/>
    <w:qFormat/>
    <w:rsid w:val="00134D79"/>
    <w:pPr>
      <w:keepNext/>
      <w:keepLines/>
      <w:spacing w:before="240"/>
      <w:outlineLvl w:val="0"/>
    </w:pPr>
    <w:rPr>
      <w:rFonts w:eastAsiaTheme="majorEastAsia" w:cstheme="majorBidi"/>
      <w:b/>
      <w:sz w:val="32"/>
      <w:szCs w:val="32"/>
    </w:rPr>
  </w:style>
  <w:style w:type="paragraph" w:styleId="Heading2">
    <w:name w:val="heading 2"/>
    <w:basedOn w:val="Normal"/>
    <w:next w:val="Normal"/>
    <w:uiPriority w:val="9"/>
    <w:unhideWhenUsed/>
    <w:qFormat/>
    <w:rsid w:val="00134D79"/>
    <w:pPr>
      <w:keepNext/>
      <w:keepLines/>
      <w:spacing w:before="360" w:after="80"/>
      <w:outlineLvl w:val="1"/>
    </w:pPr>
    <w:rPr>
      <w:b/>
      <w:szCs w:val="36"/>
    </w:rPr>
  </w:style>
  <w:style w:type="paragraph" w:styleId="Heading3">
    <w:name w:val="heading 3"/>
    <w:basedOn w:val="Normal"/>
    <w:next w:val="Normal"/>
    <w:uiPriority w:val="9"/>
    <w:unhideWhenUsed/>
    <w:qFormat/>
    <w:rsid w:val="00520117"/>
    <w:pPr>
      <w:keepNext/>
      <w:keepLines/>
      <w:spacing w:before="280" w:after="80"/>
      <w:outlineLvl w:val="2"/>
    </w:pPr>
    <w:rPr>
      <w:b/>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95F3C"/>
    <w:pPr>
      <w:ind w:left="720"/>
      <w:contextualSpacing/>
    </w:pPr>
  </w:style>
  <w:style w:type="character" w:customStyle="1" w:styleId="Heading1Char">
    <w:name w:val="Heading 1 Char"/>
    <w:basedOn w:val="DefaultParagraphFont"/>
    <w:link w:val="Heading1"/>
    <w:uiPriority w:val="9"/>
    <w:rsid w:val="00134D79"/>
    <w:rPr>
      <w:rFonts w:eastAsiaTheme="majorEastAsia" w:cstheme="majorBidi"/>
      <w:b/>
      <w:sz w:val="32"/>
      <w:szCs w:val="32"/>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34D79"/>
    <w:pPr>
      <w:spacing w:line="259" w:lineRule="auto"/>
      <w:outlineLvl w:val="9"/>
    </w:pPr>
    <w:rPr>
      <w:lang w:eastAsia="en-US"/>
    </w:rPr>
  </w:style>
  <w:style w:type="paragraph" w:styleId="TOC1">
    <w:name w:val="toc 1"/>
    <w:basedOn w:val="Normal"/>
    <w:next w:val="Normal"/>
    <w:autoRedefine/>
    <w:uiPriority w:val="39"/>
    <w:unhideWhenUsed/>
    <w:rsid w:val="00134D79"/>
    <w:pPr>
      <w:spacing w:after="100"/>
    </w:pPr>
  </w:style>
  <w:style w:type="character" w:styleId="Hyperlink">
    <w:name w:val="Hyperlink"/>
    <w:basedOn w:val="DefaultParagraphFont"/>
    <w:uiPriority w:val="99"/>
    <w:unhideWhenUsed/>
    <w:rsid w:val="00134D79"/>
    <w:rPr>
      <w:color w:val="0563C1" w:themeColor="hyperlink"/>
      <w:u w:val="single"/>
    </w:rPr>
  </w:style>
  <w:style w:type="paragraph" w:styleId="TOC2">
    <w:name w:val="toc 2"/>
    <w:basedOn w:val="Normal"/>
    <w:next w:val="Normal"/>
    <w:autoRedefine/>
    <w:uiPriority w:val="39"/>
    <w:unhideWhenUsed/>
    <w:rsid w:val="0038580A"/>
    <w:pPr>
      <w:spacing w:after="100"/>
      <w:ind w:left="240"/>
    </w:pPr>
  </w:style>
  <w:style w:type="paragraph" w:styleId="TOC3">
    <w:name w:val="toc 3"/>
    <w:basedOn w:val="Normal"/>
    <w:next w:val="Normal"/>
    <w:autoRedefine/>
    <w:uiPriority w:val="39"/>
    <w:unhideWhenUsed/>
    <w:rsid w:val="0038580A"/>
    <w:pPr>
      <w:spacing w:after="100"/>
      <w:ind w:left="480"/>
    </w:pPr>
  </w:style>
  <w:style w:type="paragraph" w:styleId="Header">
    <w:name w:val="header"/>
    <w:basedOn w:val="Normal"/>
    <w:link w:val="HeaderChar"/>
    <w:uiPriority w:val="99"/>
    <w:unhideWhenUsed/>
    <w:rsid w:val="0038580A"/>
    <w:pPr>
      <w:tabs>
        <w:tab w:val="center" w:pos="4680"/>
        <w:tab w:val="right" w:pos="9360"/>
      </w:tabs>
    </w:pPr>
  </w:style>
  <w:style w:type="character" w:customStyle="1" w:styleId="HeaderChar">
    <w:name w:val="Header Char"/>
    <w:basedOn w:val="DefaultParagraphFont"/>
    <w:link w:val="Header"/>
    <w:uiPriority w:val="99"/>
    <w:rsid w:val="0038580A"/>
    <w:rPr>
      <w:lang w:eastAsia="en-GB"/>
    </w:rPr>
  </w:style>
  <w:style w:type="paragraph" w:styleId="Footer">
    <w:name w:val="footer"/>
    <w:basedOn w:val="Normal"/>
    <w:link w:val="FooterChar"/>
    <w:uiPriority w:val="99"/>
    <w:unhideWhenUsed/>
    <w:rsid w:val="0038580A"/>
    <w:pPr>
      <w:tabs>
        <w:tab w:val="center" w:pos="4680"/>
        <w:tab w:val="right" w:pos="9360"/>
      </w:tabs>
    </w:pPr>
  </w:style>
  <w:style w:type="character" w:customStyle="1" w:styleId="FooterChar">
    <w:name w:val="Footer Char"/>
    <w:basedOn w:val="DefaultParagraphFont"/>
    <w:link w:val="Footer"/>
    <w:uiPriority w:val="99"/>
    <w:rsid w:val="0038580A"/>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80/21645515.2023.2260038"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016/j.lana.2021.10014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16/j.lana.2021.10014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080/10810730.2020.18686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01/2023.11.08.23298275" TargetMode="External"/><Relationship Id="rId10" Type="http://schemas.openxmlformats.org/officeDocument/2006/relationships/image" Target="media/image2.png"/><Relationship Id="rId19" Type="http://schemas.openxmlformats.org/officeDocument/2006/relationships/hyperlink" Target="https://doi.org/10.1016/j.ypmed.2021.10669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11/jrh.12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Sbs3FP7vjxMaatoBB4a5xw7Dw==">CgMxLjAaHwoBMBIaChgICVIUChJ0YWJsZS5icTA2bnZrZzB2YW4aHwoBMRIaChgICVIUChJ0YWJsZS5sbHdzZDMzMnJmdDkaHwoBMhIaChgICVIUChJ0YWJsZS5lbXczeGFwZnRuNzAyCGguZ2pkZ3hzOAByITF0MHY3ejEtS08wZGwyZm9rSF9yYloxWkZkQXpmbVFVMg==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E289E2-C76D-4C22-B6D2-E071966C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19</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dc:creator>
  <cp:lastModifiedBy>Cuong Vo</cp:lastModifiedBy>
  <cp:revision>3</cp:revision>
  <dcterms:created xsi:type="dcterms:W3CDTF">2024-05-11T12:34:00Z</dcterms:created>
  <dcterms:modified xsi:type="dcterms:W3CDTF">2024-05-12T12:48:00Z</dcterms:modified>
</cp:coreProperties>
</file>